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5A" w:rsidRDefault="00113C5A" w:rsidP="00AC35C4">
      <w:pPr>
        <w:pStyle w:val="F2-zkladn"/>
        <w:rPr>
          <w:b/>
          <w:sz w:val="28"/>
          <w:szCs w:val="28"/>
        </w:rPr>
      </w:pPr>
    </w:p>
    <w:p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rsidR="000A2833" w:rsidRPr="009C3DB4" w:rsidRDefault="00BE7B01" w:rsidP="00AC35C4">
      <w:pPr>
        <w:pStyle w:val="F2-zkladn"/>
        <w:rPr>
          <w:b/>
          <w:sz w:val="28"/>
          <w:szCs w:val="28"/>
        </w:rPr>
      </w:pPr>
      <w:r w:rsidRPr="009C3DB4">
        <w:rPr>
          <w:noProof/>
        </w:rPr>
        <mc:AlternateContent>
          <mc:Choice Requires="wps">
            <w:drawing>
              <wp:inline distT="0" distB="0" distL="0" distR="0">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rsidR="000A2833" w:rsidRPr="00B362ED" w:rsidRDefault="00BE7B01" w:rsidP="00AC35C4">
      <w:pPr>
        <w:pStyle w:val="F2-zkladn"/>
        <w:tabs>
          <w:tab w:val="right" w:pos="9070"/>
        </w:tabs>
      </w:pPr>
      <w:r w:rsidRPr="00B362ED">
        <w:rPr>
          <w:noProof/>
        </w:rPr>
        <mc:AlternateContent>
          <mc:Choice Requires="wps">
            <w:drawing>
              <wp:inline distT="0" distB="0" distL="0" distR="0">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2F5DDB">
        <w:t>9. července 2020</w:t>
      </w:r>
    </w:p>
    <w:p w:rsidR="00F057F3" w:rsidRDefault="00F057F3" w:rsidP="004F7624">
      <w:pPr>
        <w:pStyle w:val="FormtovanvHTML"/>
        <w:shd w:val="clear" w:color="auto" w:fill="FFFFFF"/>
        <w:rPr>
          <w:rFonts w:ascii="Arial" w:hAnsi="Arial" w:cs="Arial"/>
          <w:b/>
          <w:sz w:val="28"/>
          <w:szCs w:val="28"/>
          <w:lang w:val="cs-CZ" w:eastAsia="cs-CZ"/>
        </w:rPr>
      </w:pPr>
      <w:r w:rsidRPr="00F057F3">
        <w:rPr>
          <w:rFonts w:ascii="Arial" w:hAnsi="Arial" w:cs="Arial"/>
          <w:b/>
          <w:sz w:val="28"/>
          <w:szCs w:val="28"/>
          <w:lang w:val="cs-CZ" w:eastAsia="cs-CZ"/>
        </w:rPr>
        <w:t xml:space="preserve">Výhled </w:t>
      </w:r>
      <w:proofErr w:type="spellStart"/>
      <w:r w:rsidRPr="00F057F3">
        <w:rPr>
          <w:rFonts w:ascii="Arial" w:hAnsi="Arial" w:cs="Arial"/>
          <w:b/>
          <w:sz w:val="28"/>
          <w:szCs w:val="28"/>
          <w:lang w:val="cs-CZ" w:eastAsia="cs-CZ"/>
        </w:rPr>
        <w:t>Fidelity</w:t>
      </w:r>
      <w:proofErr w:type="spellEnd"/>
      <w:r w:rsidRPr="00F057F3">
        <w:rPr>
          <w:rFonts w:ascii="Arial" w:hAnsi="Arial" w:cs="Arial"/>
          <w:b/>
          <w:sz w:val="28"/>
          <w:szCs w:val="28"/>
          <w:lang w:val="cs-CZ" w:eastAsia="cs-CZ"/>
        </w:rPr>
        <w:t xml:space="preserve"> International: Argumenty pro akcie vyplácející dividendy v měnící se ekonomice </w:t>
      </w:r>
    </w:p>
    <w:p w:rsidR="00F057F3" w:rsidRDefault="00F057F3" w:rsidP="00F057F3">
      <w:pPr>
        <w:rPr>
          <w:b/>
        </w:rPr>
      </w:pPr>
      <w:r w:rsidRPr="002D1C6D">
        <w:rPr>
          <w:b/>
        </w:rPr>
        <w:t xml:space="preserve">Bylo napsáno tolik komentářů o společnostech snižujících v posledních několika měsících dividendy, že je podle </w:t>
      </w:r>
      <w:proofErr w:type="spellStart"/>
      <w:r w:rsidRPr="002D1C6D">
        <w:rPr>
          <w:b/>
        </w:rPr>
        <w:t>Fidelity</w:t>
      </w:r>
      <w:proofErr w:type="spellEnd"/>
      <w:r w:rsidRPr="002D1C6D">
        <w:rPr>
          <w:b/>
        </w:rPr>
        <w:t xml:space="preserve"> International třeba upozornit na fakt, že většina společností stále dividendy akcionářům vyplácí</w:t>
      </w:r>
      <w:r>
        <w:rPr>
          <w:b/>
        </w:rPr>
        <w:t>.</w:t>
      </w:r>
      <w:r w:rsidRPr="002D1C6D">
        <w:rPr>
          <w:b/>
        </w:rPr>
        <w:t xml:space="preserve"> </w:t>
      </w:r>
      <w:r>
        <w:rPr>
          <w:b/>
        </w:rPr>
        <w:t>A</w:t>
      </w:r>
      <w:r w:rsidRPr="002D1C6D">
        <w:rPr>
          <w:b/>
        </w:rPr>
        <w:t xml:space="preserve"> </w:t>
      </w:r>
      <w:r>
        <w:rPr>
          <w:b/>
        </w:rPr>
        <w:t>v mnoha</w:t>
      </w:r>
      <w:r w:rsidRPr="002D1C6D">
        <w:rPr>
          <w:b/>
        </w:rPr>
        <w:t xml:space="preserve"> společnostech růst dividend pokrač</w:t>
      </w:r>
      <w:r>
        <w:rPr>
          <w:b/>
        </w:rPr>
        <w:t xml:space="preserve">uje </w:t>
      </w:r>
      <w:r w:rsidRPr="002D1C6D">
        <w:rPr>
          <w:b/>
        </w:rPr>
        <w:t>i v roce 2020. Dokonce i v Evropě a Velké Británii, kde jsou škrty nejběžnější, dos</w:t>
      </w:r>
      <w:r>
        <w:rPr>
          <w:b/>
        </w:rPr>
        <w:t>ahuje</w:t>
      </w:r>
      <w:r w:rsidRPr="002D1C6D">
        <w:rPr>
          <w:b/>
        </w:rPr>
        <w:t xml:space="preserve"> zhruba polovina společností v roce 2020 růstu dividend.</w:t>
      </w:r>
    </w:p>
    <w:p w:rsidR="00F057F3" w:rsidRDefault="00F057F3" w:rsidP="00F057F3">
      <w:pPr>
        <w:rPr>
          <w:b/>
        </w:rPr>
      </w:pPr>
      <w:r>
        <w:rPr>
          <w:b/>
        </w:rPr>
        <w:t>Mnoho společností stále vyplácí (a zvyšuje) dividendy</w:t>
      </w:r>
    </w:p>
    <w:p w:rsidR="00F057F3" w:rsidRDefault="00F057F3" w:rsidP="00F057F3">
      <w:r w:rsidRPr="00E36143">
        <w:t>„</w:t>
      </w:r>
      <w:r w:rsidRPr="00F057F3">
        <w:rPr>
          <w:i/>
        </w:rPr>
        <w:t>Pokud jde o důvody, proč společnosti v roce 2020 snižovaly dividendy, objevil se jasný vzorec: společnosti s větší citlivostí na vývoj ekonomiky a s větším zadlužením ve svých rozvahách jsou vystaveny největšímu riziku snížení dividend. Společnosti s defenzivnějšími obchodními modely a silnějšími rozvahami jsou v současné krizi a i v běžnějším tržním prostředí vystaveny podstatně nižšímu riziku snížení dividend</w:t>
      </w:r>
      <w:r w:rsidRPr="00E36143">
        <w:t xml:space="preserve">,“ míní Matthew </w:t>
      </w:r>
      <w:proofErr w:type="spellStart"/>
      <w:r w:rsidRPr="00E36143">
        <w:t>Jennings</w:t>
      </w:r>
      <w:proofErr w:type="spellEnd"/>
      <w:r w:rsidRPr="00E36143">
        <w:t xml:space="preserve">, investiční ředitel </w:t>
      </w:r>
      <w:proofErr w:type="spellStart"/>
      <w:r w:rsidRPr="00E36143">
        <w:t>Fidelity</w:t>
      </w:r>
      <w:proofErr w:type="spellEnd"/>
      <w:r w:rsidRPr="00E36143">
        <w:t xml:space="preserve"> International.</w:t>
      </w:r>
    </w:p>
    <w:p w:rsidR="00F057F3" w:rsidRDefault="00F057F3" w:rsidP="00F057F3">
      <w:pPr>
        <w:spacing w:before="120" w:after="160" w:line="259" w:lineRule="auto"/>
        <w:rPr>
          <w:rFonts w:eastAsia="Calibri"/>
          <w:szCs w:val="22"/>
          <w:u w:val="single"/>
          <w:lang w:eastAsia="en-US"/>
        </w:rPr>
      </w:pPr>
    </w:p>
    <w:p w:rsidR="00F057F3" w:rsidRPr="00F057F3" w:rsidRDefault="00F057F3" w:rsidP="00F057F3">
      <w:pPr>
        <w:spacing w:before="120" w:after="160" w:line="259" w:lineRule="auto"/>
        <w:rPr>
          <w:rFonts w:ascii="Calibri" w:eastAsia="Calibri" w:hAnsi="Calibri" w:cs="Times New Roman"/>
          <w:szCs w:val="22"/>
          <w:u w:val="single"/>
          <w:lang w:eastAsia="en-US"/>
        </w:rPr>
      </w:pPr>
      <w:r w:rsidRPr="00F057F3">
        <w:rPr>
          <w:rFonts w:eastAsia="Calibri"/>
          <w:szCs w:val="22"/>
          <w:u w:val="single"/>
          <w:lang w:eastAsia="en-US"/>
        </w:rPr>
        <w:t>Procentuální vývoj dividend ve společnostech v roce 2020</w:t>
      </w:r>
    </w:p>
    <w:tbl>
      <w:tblPr>
        <w:tblStyle w:val="TableGrid2"/>
        <w:tblW w:w="5461" w:type="pct"/>
        <w:tblLayout w:type="fixed"/>
        <w:tblCellMar>
          <w:left w:w="0" w:type="dxa"/>
          <w:right w:w="0" w:type="dxa"/>
        </w:tblCellMar>
        <w:tblLook w:val="04A0" w:firstRow="1" w:lastRow="0" w:firstColumn="1" w:lastColumn="0" w:noHBand="0" w:noVBand="1"/>
      </w:tblPr>
      <w:tblGrid>
        <w:gridCol w:w="9906"/>
      </w:tblGrid>
      <w:tr w:rsidR="00586D3F" w:rsidRPr="00F057F3" w:rsidTr="00586D3F">
        <w:trPr>
          <w:trHeight w:val="2465"/>
        </w:trPr>
        <w:tc>
          <w:tcPr>
            <w:tcW w:w="5000" w:type="pct"/>
            <w:tcMar>
              <w:left w:w="0" w:type="dxa"/>
              <w:right w:w="0" w:type="dxa"/>
            </w:tcMar>
          </w:tcPr>
          <w:p w:rsidR="00586D3F" w:rsidRPr="00F057F3" w:rsidRDefault="00586D3F" w:rsidP="00F057F3">
            <w:pPr>
              <w:spacing w:before="0" w:line="240" w:lineRule="auto"/>
              <w:rPr>
                <w:lang w:eastAsia="en-GB"/>
              </w:rPr>
            </w:pPr>
            <w:r w:rsidRPr="00F057F3">
              <w:rPr>
                <w:noProof/>
              </w:rPr>
              <w:drawing>
                <wp:inline distT="0" distB="0" distL="0" distR="0" wp14:anchorId="0654A33A" wp14:editId="7806A06A">
                  <wp:extent cx="6176010" cy="1585595"/>
                  <wp:effectExtent l="0" t="0" r="0" b="0"/>
                  <wp:docPr id="14" name="Chart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C8E6C432-9BCD-49D7-9329-17A9E4CC1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586D3F" w:rsidRPr="00F057F3" w:rsidTr="00586D3F">
        <w:trPr>
          <w:trHeight w:val="326"/>
        </w:trPr>
        <w:tc>
          <w:tcPr>
            <w:tcW w:w="5000" w:type="pct"/>
            <w:tcMar>
              <w:left w:w="0" w:type="dxa"/>
              <w:right w:w="0" w:type="dxa"/>
            </w:tcMar>
          </w:tcPr>
          <w:p w:rsidR="00586D3F" w:rsidRPr="00F057F3" w:rsidRDefault="00586D3F" w:rsidP="00F057F3">
            <w:pPr>
              <w:spacing w:before="0" w:after="120" w:line="240" w:lineRule="auto"/>
              <w:rPr>
                <w:sz w:val="18"/>
                <w:szCs w:val="18"/>
                <w:lang w:eastAsia="en-GB"/>
              </w:rPr>
            </w:pPr>
            <w:r w:rsidRPr="00F057F3">
              <w:rPr>
                <w:sz w:val="18"/>
                <w:szCs w:val="18"/>
                <w:lang w:eastAsia="en-GB"/>
              </w:rPr>
              <w:t>Source: SG Cross Asset Research/Equity Quant, Bloomberg. May 2020</w:t>
            </w:r>
          </w:p>
        </w:tc>
      </w:tr>
    </w:tbl>
    <w:p w:rsidR="00F057F3" w:rsidRPr="00F057F3" w:rsidRDefault="00F057F3" w:rsidP="00F057F3">
      <w:pPr>
        <w:pStyle w:val="F2-zkladn"/>
        <w:tabs>
          <w:tab w:val="right" w:pos="9070"/>
        </w:tabs>
      </w:pPr>
      <w:r w:rsidRPr="00F057F3">
        <w:t>Podle něj existuje také regionální struktura. Evropské a britské podniky vyplácejí oproti jiným trhům větší část výdělků, a tak jsou zde dividendy citlivější na klesající příjmy. Navíc evropské regulační orgány rychle prosazovaly pozastavení dividend u bank a některých pojišťoven v celé Evropě.</w:t>
      </w:r>
    </w:p>
    <w:p w:rsidR="00073A88" w:rsidRDefault="00F057F3" w:rsidP="00F057F3">
      <w:pPr>
        <w:pStyle w:val="F2-zkladn"/>
        <w:tabs>
          <w:tab w:val="right" w:pos="9070"/>
        </w:tabs>
      </w:pPr>
      <w:r w:rsidRPr="00F057F3">
        <w:t>„</w:t>
      </w:r>
      <w:r w:rsidRPr="00F057F3">
        <w:rPr>
          <w:i/>
        </w:rPr>
        <w:t>K většině snížení dividend dochází u společností z cyklických odvětví.  Objevil se jasný vztah a mezi silnou rozvahou a udržitelností dividend</w:t>
      </w:r>
      <w:r w:rsidRPr="00F057F3">
        <w:t xml:space="preserve">,“ shrnuje M. </w:t>
      </w:r>
      <w:proofErr w:type="spellStart"/>
      <w:r w:rsidRPr="00F057F3">
        <w:t>Jennings</w:t>
      </w:r>
      <w:proofErr w:type="spellEnd"/>
      <w:r w:rsidRPr="00F057F3">
        <w:t>.</w:t>
      </w:r>
    </w:p>
    <w:p w:rsidR="00F057F3" w:rsidRDefault="00F057F3" w:rsidP="00F057F3">
      <w:pPr>
        <w:pStyle w:val="F2-zkladn"/>
        <w:tabs>
          <w:tab w:val="right" w:pos="9070"/>
        </w:tabs>
      </w:pPr>
    </w:p>
    <w:p w:rsidR="00586D3F" w:rsidRDefault="00586D3F" w:rsidP="00F057F3">
      <w:pPr>
        <w:pStyle w:val="F2-zkladn"/>
        <w:tabs>
          <w:tab w:val="right" w:pos="9070"/>
        </w:tabs>
      </w:pPr>
    </w:p>
    <w:p w:rsidR="00586D3F" w:rsidRDefault="00586D3F" w:rsidP="00F057F3">
      <w:pPr>
        <w:pStyle w:val="F2-zkladn"/>
        <w:tabs>
          <w:tab w:val="right" w:pos="9070"/>
        </w:tabs>
      </w:pPr>
      <w:bookmarkStart w:id="0" w:name="_GoBack"/>
      <w:bookmarkEnd w:id="0"/>
    </w:p>
    <w:tbl>
      <w:tblPr>
        <w:tblStyle w:val="TableGrid21"/>
        <w:tblW w:w="5314" w:type="pct"/>
        <w:tblInd w:w="-567" w:type="dxa"/>
        <w:tblLayout w:type="fixed"/>
        <w:tblCellMar>
          <w:left w:w="0" w:type="dxa"/>
          <w:right w:w="0" w:type="dxa"/>
        </w:tblCellMar>
        <w:tblLook w:val="04A0" w:firstRow="1" w:lastRow="0" w:firstColumn="1" w:lastColumn="0" w:noHBand="0" w:noVBand="1"/>
      </w:tblPr>
      <w:tblGrid>
        <w:gridCol w:w="9603"/>
        <w:gridCol w:w="37"/>
      </w:tblGrid>
      <w:tr w:rsidR="00F057F3" w:rsidRPr="00F057F3" w:rsidTr="00586D3F">
        <w:tc>
          <w:tcPr>
            <w:tcW w:w="5000" w:type="pct"/>
            <w:gridSpan w:val="2"/>
            <w:tcMar>
              <w:left w:w="0" w:type="dxa"/>
              <w:right w:w="0" w:type="dxa"/>
            </w:tcMar>
          </w:tcPr>
          <w:p w:rsidR="00F057F3" w:rsidRPr="00F057F3" w:rsidRDefault="00F057F3" w:rsidP="00F057F3">
            <w:pPr>
              <w:spacing w:before="0" w:line="276" w:lineRule="auto"/>
              <w:contextualSpacing/>
              <w:rPr>
                <w:color w:val="0A4D80"/>
                <w:sz w:val="16"/>
                <w:lang w:eastAsia="en-GB"/>
              </w:rPr>
            </w:pPr>
            <w:r w:rsidRPr="00F057F3">
              <w:rPr>
                <w:color w:val="0A4D80"/>
                <w:sz w:val="16"/>
                <w:lang w:eastAsia="en-GB"/>
              </w:rPr>
              <w:t xml:space="preserve">   </w:t>
            </w:r>
            <w:proofErr w:type="spellStart"/>
            <w:r w:rsidRPr="00F057F3">
              <w:rPr>
                <w:rFonts w:eastAsia="Calibri"/>
                <w:sz w:val="20"/>
                <w:u w:val="single"/>
                <w:lang w:eastAsia="en-US"/>
              </w:rPr>
              <w:t>Dividendy</w:t>
            </w:r>
            <w:proofErr w:type="spellEnd"/>
            <w:r w:rsidRPr="00F057F3">
              <w:rPr>
                <w:rFonts w:eastAsia="Calibri"/>
                <w:sz w:val="20"/>
                <w:u w:val="single"/>
                <w:lang w:eastAsia="en-US"/>
              </w:rPr>
              <w:t xml:space="preserve"> stoxx600 </w:t>
            </w:r>
            <w:proofErr w:type="spellStart"/>
            <w:r w:rsidRPr="00F057F3">
              <w:rPr>
                <w:rFonts w:eastAsia="Calibri"/>
                <w:sz w:val="20"/>
                <w:u w:val="single"/>
                <w:lang w:eastAsia="en-US"/>
              </w:rPr>
              <w:t>snížené</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podle</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odvětví</w:t>
            </w:r>
            <w:proofErr w:type="spellEnd"/>
            <w:r w:rsidRPr="00F057F3">
              <w:rPr>
                <w:color w:val="0A4D80"/>
                <w:sz w:val="14"/>
                <w:lang w:eastAsia="en-GB"/>
              </w:rPr>
              <w:t xml:space="preserve">  </w:t>
            </w:r>
          </w:p>
        </w:tc>
      </w:tr>
      <w:tr w:rsidR="00F057F3" w:rsidRPr="00F057F3" w:rsidTr="00586D3F">
        <w:tc>
          <w:tcPr>
            <w:tcW w:w="5000" w:type="pct"/>
            <w:gridSpan w:val="2"/>
            <w:tcMar>
              <w:left w:w="0" w:type="dxa"/>
              <w:right w:w="0" w:type="dxa"/>
            </w:tcMar>
          </w:tcPr>
          <w:p w:rsidR="00F057F3" w:rsidRPr="00F057F3" w:rsidRDefault="00F057F3" w:rsidP="00F057F3">
            <w:pPr>
              <w:spacing w:before="0" w:line="240" w:lineRule="auto"/>
              <w:rPr>
                <w:lang w:eastAsia="en-GB"/>
              </w:rPr>
            </w:pPr>
            <w:r w:rsidRPr="00F057F3">
              <w:rPr>
                <w:noProof/>
              </w:rPr>
              <w:drawing>
                <wp:inline distT="0" distB="0" distL="0" distR="0" wp14:anchorId="26373E05" wp14:editId="30530CA0">
                  <wp:extent cx="4572000" cy="2562225"/>
                  <wp:effectExtent l="0" t="0" r="0" b="0"/>
                  <wp:docPr id="16" name="Chart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F806394C-504B-4315-AE13-B3B9FB672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057F3" w:rsidRPr="00F057F3" w:rsidTr="00586D3F">
        <w:tc>
          <w:tcPr>
            <w:tcW w:w="5000" w:type="pct"/>
            <w:gridSpan w:val="2"/>
            <w:tcMar>
              <w:left w:w="0" w:type="dxa"/>
              <w:right w:w="0" w:type="dxa"/>
            </w:tcMar>
          </w:tcPr>
          <w:p w:rsidR="00F057F3" w:rsidRPr="00F057F3" w:rsidRDefault="00F057F3" w:rsidP="00F057F3">
            <w:pPr>
              <w:spacing w:before="0" w:line="276" w:lineRule="auto"/>
              <w:contextualSpacing/>
              <w:rPr>
                <w:rFonts w:eastAsia="Calibri"/>
                <w:u w:val="single"/>
                <w:lang w:eastAsia="en-US"/>
              </w:rPr>
            </w:pPr>
            <w:r w:rsidRPr="00F057F3">
              <w:rPr>
                <w:rFonts w:eastAsia="Calibri"/>
                <w:sz w:val="20"/>
                <w:u w:val="single"/>
                <w:lang w:eastAsia="en-US"/>
              </w:rPr>
              <w:t xml:space="preserve">S&amp;P 500:% </w:t>
            </w:r>
            <w:proofErr w:type="spellStart"/>
            <w:r w:rsidRPr="00F057F3">
              <w:rPr>
                <w:rFonts w:eastAsia="Calibri"/>
                <w:sz w:val="20"/>
                <w:u w:val="single"/>
                <w:lang w:eastAsia="en-US"/>
              </w:rPr>
              <w:t>Dividendový</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řez</w:t>
            </w:r>
            <w:proofErr w:type="spellEnd"/>
            <w:r w:rsidRPr="00F057F3">
              <w:rPr>
                <w:rFonts w:eastAsia="Calibri"/>
                <w:sz w:val="20"/>
                <w:u w:val="single"/>
                <w:lang w:eastAsia="en-US"/>
              </w:rPr>
              <w:t xml:space="preserve"> / </w:t>
            </w:r>
            <w:proofErr w:type="spellStart"/>
            <w:r w:rsidRPr="00F057F3">
              <w:rPr>
                <w:rFonts w:eastAsia="Calibri"/>
                <w:sz w:val="20"/>
                <w:u w:val="single"/>
                <w:lang w:eastAsia="en-US"/>
              </w:rPr>
              <w:t>růst</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podle</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Mertonova</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kvintilu</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dolní</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kvintil</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má</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nejslabší</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rozvahy</w:t>
            </w:r>
            <w:proofErr w:type="spellEnd"/>
            <w:r w:rsidRPr="00F057F3">
              <w:rPr>
                <w:rFonts w:eastAsia="Calibri"/>
                <w:sz w:val="20"/>
                <w:u w:val="single"/>
                <w:lang w:eastAsia="en-US"/>
              </w:rPr>
              <w:t>)</w:t>
            </w:r>
          </w:p>
        </w:tc>
      </w:tr>
      <w:tr w:rsidR="00F057F3" w:rsidRPr="00F057F3" w:rsidTr="00586D3F">
        <w:trPr>
          <w:gridAfter w:val="1"/>
          <w:wAfter w:w="19" w:type="pct"/>
        </w:trPr>
        <w:tc>
          <w:tcPr>
            <w:tcW w:w="4981" w:type="pct"/>
          </w:tcPr>
          <w:p w:rsidR="00F057F3" w:rsidRPr="00F057F3" w:rsidRDefault="00F057F3" w:rsidP="00F057F3">
            <w:pPr>
              <w:spacing w:before="0" w:line="276" w:lineRule="auto"/>
              <w:contextualSpacing/>
              <w:rPr>
                <w:color w:val="0A4D80"/>
                <w:sz w:val="16"/>
                <w:lang w:eastAsia="en-GB"/>
              </w:rPr>
            </w:pPr>
            <w:r w:rsidRPr="00F057F3">
              <w:rPr>
                <w:b/>
                <w:noProof/>
                <w:color w:val="0A4D80"/>
              </w:rPr>
              <w:drawing>
                <wp:inline distT="0" distB="0" distL="0" distR="0" wp14:anchorId="7D18228C" wp14:editId="21F25F8E">
                  <wp:extent cx="3347720" cy="1933575"/>
                  <wp:effectExtent l="0" t="0" r="0" b="0"/>
                  <wp:docPr id="5" name="Chart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0DAD769B-2709-4073-9D24-4E5047B8A5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057F3" w:rsidRPr="00F057F3" w:rsidTr="00586D3F">
        <w:trPr>
          <w:gridAfter w:val="1"/>
          <w:wAfter w:w="19" w:type="pct"/>
        </w:trPr>
        <w:tc>
          <w:tcPr>
            <w:tcW w:w="4981" w:type="pct"/>
          </w:tcPr>
          <w:p w:rsidR="00F057F3" w:rsidRPr="00F057F3" w:rsidRDefault="00F057F3" w:rsidP="00F057F3">
            <w:pPr>
              <w:spacing w:before="0" w:after="120" w:line="240" w:lineRule="auto"/>
              <w:rPr>
                <w:sz w:val="18"/>
                <w:szCs w:val="18"/>
                <w:lang w:eastAsia="en-GB"/>
              </w:rPr>
            </w:pPr>
            <w:r w:rsidRPr="00F057F3">
              <w:rPr>
                <w:sz w:val="18"/>
                <w:szCs w:val="18"/>
                <w:lang w:eastAsia="en-GB"/>
              </w:rPr>
              <w:t>Source: LHS, JP Morgan, April 2020. RHS: SG Markets. May 2020. Companies are ranked according to Merton score - a composite measure of balance sheet strength.</w:t>
            </w:r>
          </w:p>
          <w:p w:rsidR="00F057F3" w:rsidRPr="00F057F3" w:rsidRDefault="00F057F3" w:rsidP="00F057F3">
            <w:pPr>
              <w:spacing w:before="0" w:line="240" w:lineRule="auto"/>
              <w:rPr>
                <w:lang w:eastAsia="en-GB"/>
              </w:rPr>
            </w:pPr>
          </w:p>
        </w:tc>
      </w:tr>
    </w:tbl>
    <w:p w:rsidR="00F057F3" w:rsidRDefault="00F057F3" w:rsidP="00F057F3">
      <w:pPr>
        <w:pStyle w:val="F2-zkladn"/>
        <w:tabs>
          <w:tab w:val="right" w:pos="9070"/>
        </w:tabs>
      </w:pPr>
      <w:r>
        <w:t>„</w:t>
      </w:r>
      <w:r w:rsidRPr="00F057F3">
        <w:rPr>
          <w:i/>
        </w:rPr>
        <w:t>Také jsme zaznamenali větší odklon k akciím s „vysokým výnosem“ v souvislosti se snižováním dividend. Společnosti obchodující s vysokým dividendovým výnosem tak možná činí, protože trh zpochybňuje jejich finanční sílu nebo odolnost vůči peněžním tokům. Nedávné události ale ukazují skutečnost, kterou zaznamenáváme dlouhodobě: akcie s nejvyšší dividendovou výnosností nepřinášejí vždy nejlepší dlouhodobé výsledky pro investory zaměřené na výnos</w:t>
      </w:r>
      <w:r>
        <w:t xml:space="preserve">,“ upozorňuje Eva </w:t>
      </w:r>
      <w:proofErr w:type="spellStart"/>
      <w:r>
        <w:t>Miklášová</w:t>
      </w:r>
      <w:proofErr w:type="spellEnd"/>
      <w:r>
        <w:t xml:space="preserve">, Senior Sales </w:t>
      </w:r>
      <w:proofErr w:type="spellStart"/>
      <w:r>
        <w:t>M</w:t>
      </w:r>
      <w:r>
        <w:t>anager</w:t>
      </w:r>
      <w:proofErr w:type="spellEnd"/>
      <w:r>
        <w:t xml:space="preserve">, </w:t>
      </w:r>
      <w:proofErr w:type="spellStart"/>
      <w:r>
        <w:t>Fidelity</w:t>
      </w:r>
      <w:proofErr w:type="spellEnd"/>
      <w:r>
        <w:t xml:space="preserve"> International.</w:t>
      </w:r>
    </w:p>
    <w:p w:rsidR="00F057F3" w:rsidRDefault="00F057F3" w:rsidP="00F057F3">
      <w:pPr>
        <w:pStyle w:val="F2-zkladn"/>
        <w:tabs>
          <w:tab w:val="right" w:pos="9070"/>
        </w:tabs>
      </w:pPr>
      <w:r>
        <w:t>„</w:t>
      </w:r>
      <w:r w:rsidRPr="00F057F3">
        <w:rPr>
          <w:i/>
        </w:rPr>
        <w:t>Navzdory nepopiratelně náročnému prostředí je pro „dividendové investory“ dobrou zprávou existence širokého výběru podniků, které generují zisk a pokračují ve vyplácení dividend. A i mezi společnostmi, které v současné chvíli dividendy nevyplácejí, se mohou objevit atraktivní dlouhodobé příležitosti</w:t>
      </w:r>
      <w:r>
        <w:t xml:space="preserve">,“ dodává Eva </w:t>
      </w:r>
      <w:proofErr w:type="spellStart"/>
      <w:r>
        <w:t>Miklášová</w:t>
      </w:r>
      <w:proofErr w:type="spellEnd"/>
      <w:r>
        <w:t>.</w:t>
      </w:r>
    </w:p>
    <w:p w:rsidR="00F057F3" w:rsidRPr="00F057F3" w:rsidRDefault="00F057F3" w:rsidP="00F057F3">
      <w:pPr>
        <w:pStyle w:val="F2-zkladn"/>
        <w:tabs>
          <w:tab w:val="right" w:pos="9070"/>
        </w:tabs>
        <w:rPr>
          <w:b/>
        </w:rPr>
      </w:pPr>
      <w:r w:rsidRPr="00F057F3">
        <w:rPr>
          <w:b/>
        </w:rPr>
        <w:t>Výnosy jsou atraktivní v porovnání s ostatními třídami aktiv, dokonce s</w:t>
      </w:r>
      <w:r w:rsidRPr="00F057F3">
        <w:rPr>
          <w:b/>
        </w:rPr>
        <w:t>e přizpůsobují snížení dividend</w:t>
      </w:r>
    </w:p>
    <w:p w:rsidR="00F057F3" w:rsidRDefault="00F057F3" w:rsidP="00F057F3">
      <w:pPr>
        <w:pStyle w:val="F2-zkladn"/>
        <w:tabs>
          <w:tab w:val="right" w:pos="9070"/>
        </w:tabs>
      </w:pPr>
      <w:r>
        <w:t>Prů</w:t>
      </w:r>
      <w:r>
        <w:t xml:space="preserve">měrné dividendové výnosy nejsou vysoké v absolutních číslech. Historické výnosy globálních akcií, které byly nyní ovlivněny výše uvedenými škrty, jsou zhruba v souladu nebo mírně pod dlouhodobými </w:t>
      </w:r>
      <w:r>
        <w:lastRenderedPageBreak/>
        <w:t>průměry. „</w:t>
      </w:r>
      <w:r w:rsidRPr="00F057F3">
        <w:rPr>
          <w:i/>
        </w:rPr>
        <w:t>I když můžeme očekávat oživení dividend, protože ekonomika se „normalizuje“, jak dlouho to bude trvat, není zatím jasné. Okamžité oživení nelze zaručit</w:t>
      </w:r>
      <w:r>
        <w:t xml:space="preserve">,“ upozorňuje Eva </w:t>
      </w:r>
      <w:proofErr w:type="spellStart"/>
      <w:r>
        <w:t>Miklášová</w:t>
      </w:r>
      <w:proofErr w:type="spellEnd"/>
      <w:r>
        <w:t xml:space="preserve"> z </w:t>
      </w:r>
      <w:proofErr w:type="spellStart"/>
      <w:r>
        <w:t>Fidelity</w:t>
      </w:r>
      <w:proofErr w:type="spellEnd"/>
      <w:r>
        <w:t xml:space="preserve"> International.</w:t>
      </w:r>
    </w:p>
    <w:p w:rsidR="00F057F3" w:rsidRDefault="00F057F3" w:rsidP="00F057F3">
      <w:pPr>
        <w:pStyle w:val="F2-zkladn"/>
        <w:tabs>
          <w:tab w:val="right" w:pos="9070"/>
        </w:tabs>
      </w:pPr>
      <w:r>
        <w:t xml:space="preserve">Nicméně podle </w:t>
      </w:r>
      <w:proofErr w:type="spellStart"/>
      <w:r>
        <w:t>Fidelity</w:t>
      </w:r>
      <w:proofErr w:type="spellEnd"/>
      <w:r>
        <w:t xml:space="preserve"> International je atraktivita akcií pro investory usilující o příjem mnohem jasnější. Centrální banky reagovaly na ekonomické výzvy v souvislosti s </w:t>
      </w:r>
      <w:proofErr w:type="spellStart"/>
      <w:r>
        <w:t>koronavirem</w:t>
      </w:r>
      <w:proofErr w:type="spellEnd"/>
      <w:r>
        <w:t xml:space="preserve"> snížením úrokových sazeb a v některých případech opětovným zahájením programů kvantitativního uvolňování. To tlačilo výnosy z vládních a investičních dluhopisů na historicky nízkou úroveň. Výnosy dluhopisů s nižší kvalitou mohou být vyšší, často je to však proto, že jsou zde vyšší rizika solventnosti.</w:t>
      </w:r>
    </w:p>
    <w:p w:rsidR="00F057F3" w:rsidRDefault="00F057F3" w:rsidP="00F057F3">
      <w:pPr>
        <w:pStyle w:val="F2-zkladn"/>
        <w:tabs>
          <w:tab w:val="right" w:pos="9070"/>
        </w:tabs>
      </w:pPr>
      <w:r>
        <w:t>„</w:t>
      </w:r>
      <w:r w:rsidRPr="00F057F3">
        <w:rPr>
          <w:i/>
        </w:rPr>
        <w:t>Výnosy dluhopisů jsou výrazně pod dlouhodobými průměry, zatímco dividendové výnosy zůstávají blízko dlouhodobých průměrů</w:t>
      </w:r>
      <w:r>
        <w:t xml:space="preserve">,“ shrnuje E. </w:t>
      </w:r>
      <w:proofErr w:type="spellStart"/>
      <w:r>
        <w:t>Miklášová</w:t>
      </w:r>
      <w:proofErr w:type="spellEnd"/>
      <w:r>
        <w:t>.</w:t>
      </w:r>
    </w:p>
    <w:p w:rsidR="00F057F3" w:rsidRDefault="00F057F3" w:rsidP="00F057F3">
      <w:pPr>
        <w:pStyle w:val="F2-zkladn"/>
        <w:tabs>
          <w:tab w:val="right" w:pos="9070"/>
        </w:tabs>
      </w:pPr>
    </w:p>
    <w:tbl>
      <w:tblPr>
        <w:tblStyle w:val="TableGrid22"/>
        <w:tblW w:w="5000" w:type="pct"/>
        <w:tblLayout w:type="fixed"/>
        <w:tblCellMar>
          <w:left w:w="0" w:type="dxa"/>
          <w:right w:w="0" w:type="dxa"/>
        </w:tblCellMar>
        <w:tblLook w:val="04A0" w:firstRow="1" w:lastRow="0" w:firstColumn="1" w:lastColumn="0" w:noHBand="0" w:noVBand="1"/>
      </w:tblPr>
      <w:tblGrid>
        <w:gridCol w:w="9070"/>
      </w:tblGrid>
      <w:tr w:rsidR="00F057F3" w:rsidRPr="00F057F3" w:rsidTr="00D45330">
        <w:tc>
          <w:tcPr>
            <w:tcW w:w="5000" w:type="pct"/>
            <w:tcMar>
              <w:left w:w="0" w:type="dxa"/>
              <w:right w:w="0" w:type="dxa"/>
            </w:tcMar>
          </w:tcPr>
          <w:p w:rsidR="00F057F3" w:rsidRPr="00F057F3" w:rsidRDefault="00F057F3" w:rsidP="00F057F3">
            <w:pPr>
              <w:spacing w:before="0" w:line="276" w:lineRule="auto"/>
              <w:contextualSpacing/>
              <w:rPr>
                <w:color w:val="0A4D80"/>
                <w:sz w:val="16"/>
                <w:lang w:eastAsia="en-GB"/>
              </w:rPr>
            </w:pPr>
            <w:r w:rsidRPr="00F057F3">
              <w:rPr>
                <w:color w:val="0A4D80"/>
                <w:sz w:val="16"/>
                <w:lang w:eastAsia="en-GB"/>
              </w:rPr>
              <w:t xml:space="preserve">         FTSE World Government Bond Index - Redemption Yield %</w:t>
            </w:r>
          </w:p>
        </w:tc>
      </w:tr>
      <w:tr w:rsidR="00F057F3" w:rsidRPr="00F057F3" w:rsidTr="00D45330">
        <w:tc>
          <w:tcPr>
            <w:tcW w:w="5000" w:type="pct"/>
            <w:tcMar>
              <w:left w:w="0" w:type="dxa"/>
              <w:right w:w="0" w:type="dxa"/>
            </w:tcMar>
          </w:tcPr>
          <w:p w:rsidR="00F057F3" w:rsidRPr="00F057F3" w:rsidRDefault="00F057F3" w:rsidP="00F057F3">
            <w:pPr>
              <w:spacing w:before="120" w:after="120" w:line="240" w:lineRule="auto"/>
              <w:rPr>
                <w:rFonts w:ascii="Calibri" w:hAnsi="Calibri" w:cs="Times New Roman"/>
                <w:sz w:val="2"/>
                <w:szCs w:val="2"/>
                <w:lang w:eastAsia="en-GB"/>
              </w:rPr>
            </w:pPr>
            <w:r w:rsidRPr="00F057F3">
              <w:rPr>
                <w:rFonts w:ascii="Calibri" w:hAnsi="Calibri" w:cs="Times New Roman"/>
                <w:noProof/>
                <w:sz w:val="2"/>
                <w:szCs w:val="2"/>
              </w:rPr>
              <w:drawing>
                <wp:inline distT="0" distB="0" distL="0" distR="0" wp14:anchorId="4173C501" wp14:editId="11599EFE">
                  <wp:extent cx="3451860" cy="2340000"/>
                  <wp:effectExtent l="0" t="0" r="0" b="0"/>
                  <wp:docPr id="17" name="Chart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18EFBFB2-7755-4356-9C35-613F94EA51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057F3" w:rsidRPr="00F057F3" w:rsidTr="00D45330">
        <w:tblPrEx>
          <w:tblCellMar>
            <w:left w:w="108" w:type="dxa"/>
            <w:right w:w="108" w:type="dxa"/>
          </w:tblCellMar>
        </w:tblPrEx>
        <w:tc>
          <w:tcPr>
            <w:tcW w:w="5000" w:type="pct"/>
          </w:tcPr>
          <w:p w:rsidR="00F057F3" w:rsidRPr="00F057F3" w:rsidRDefault="00F057F3" w:rsidP="00F057F3">
            <w:pPr>
              <w:spacing w:before="0" w:line="276" w:lineRule="auto"/>
              <w:contextualSpacing/>
              <w:rPr>
                <w:color w:val="0A4D80"/>
                <w:sz w:val="16"/>
                <w:lang w:eastAsia="en-GB"/>
              </w:rPr>
            </w:pPr>
            <w:r w:rsidRPr="00F057F3">
              <w:rPr>
                <w:color w:val="0A4D80"/>
                <w:sz w:val="16"/>
                <w:lang w:eastAsia="en-GB"/>
              </w:rPr>
              <w:t xml:space="preserve">         MSCI AC World - Historic Dividend Yield %</w:t>
            </w:r>
          </w:p>
        </w:tc>
      </w:tr>
      <w:tr w:rsidR="00F057F3" w:rsidRPr="00F057F3" w:rsidTr="00D45330">
        <w:tblPrEx>
          <w:tblCellMar>
            <w:left w:w="108" w:type="dxa"/>
            <w:right w:w="108" w:type="dxa"/>
          </w:tblCellMar>
        </w:tblPrEx>
        <w:tc>
          <w:tcPr>
            <w:tcW w:w="5000" w:type="pct"/>
          </w:tcPr>
          <w:p w:rsidR="00F057F3" w:rsidRPr="00F057F3" w:rsidRDefault="00F057F3" w:rsidP="00F057F3">
            <w:pPr>
              <w:spacing w:before="120" w:after="120" w:line="240" w:lineRule="auto"/>
              <w:rPr>
                <w:rFonts w:ascii="Calibri" w:hAnsi="Calibri" w:cs="Times New Roman"/>
                <w:sz w:val="2"/>
                <w:szCs w:val="2"/>
                <w:lang w:eastAsia="en-GB"/>
              </w:rPr>
            </w:pPr>
            <w:r w:rsidRPr="00F057F3">
              <w:rPr>
                <w:rFonts w:ascii="Calibri" w:hAnsi="Calibri" w:cs="Times New Roman"/>
                <w:noProof/>
                <w:sz w:val="2"/>
                <w:szCs w:val="2"/>
              </w:rPr>
              <w:drawing>
                <wp:inline distT="0" distB="0" distL="0" distR="0" wp14:anchorId="363531C4" wp14:editId="31C30E96">
                  <wp:extent cx="3453130" cy="2340000"/>
                  <wp:effectExtent l="0" t="0" r="0" b="0"/>
                  <wp:docPr id="18" name="Chart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3A7850D7-29DB-46E9-8508-A7A6793F0B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F057F3" w:rsidRPr="00F057F3" w:rsidRDefault="00F057F3" w:rsidP="00F057F3">
      <w:pPr>
        <w:spacing w:before="40" w:after="120" w:line="259" w:lineRule="auto"/>
        <w:rPr>
          <w:rFonts w:eastAsia="Calibri"/>
          <w:sz w:val="18"/>
          <w:szCs w:val="18"/>
          <w:lang w:eastAsia="en-US"/>
        </w:rPr>
      </w:pPr>
      <w:r w:rsidRPr="00F057F3">
        <w:rPr>
          <w:rFonts w:eastAsia="Calibri"/>
          <w:sz w:val="18"/>
          <w:szCs w:val="18"/>
          <w:lang w:eastAsia="en-US"/>
        </w:rPr>
        <w:t xml:space="preserve">Source: </w:t>
      </w:r>
      <w:proofErr w:type="spellStart"/>
      <w:r w:rsidRPr="00F057F3">
        <w:rPr>
          <w:rFonts w:eastAsia="Calibri"/>
          <w:sz w:val="18"/>
          <w:szCs w:val="18"/>
          <w:lang w:eastAsia="en-US"/>
        </w:rPr>
        <w:t>Fidelity</w:t>
      </w:r>
      <w:proofErr w:type="spellEnd"/>
      <w:r w:rsidRPr="00F057F3">
        <w:rPr>
          <w:rFonts w:eastAsia="Calibri"/>
          <w:sz w:val="18"/>
          <w:szCs w:val="18"/>
          <w:lang w:eastAsia="en-US"/>
        </w:rPr>
        <w:t xml:space="preserve"> International, May 2020</w:t>
      </w:r>
    </w:p>
    <w:p w:rsidR="00F057F3" w:rsidRDefault="00F057F3" w:rsidP="00F057F3">
      <w:pPr>
        <w:pStyle w:val="F2-zkladn"/>
        <w:tabs>
          <w:tab w:val="right" w:pos="9070"/>
        </w:tabs>
      </w:pPr>
      <w:r>
        <w:t xml:space="preserve">Současné výstupy centrálních bank naznačují, že úrokové sazby pravděpodobně v nejbližší době nezvýší, a proto je podle </w:t>
      </w:r>
      <w:proofErr w:type="spellStart"/>
      <w:r>
        <w:t>Fidelity</w:t>
      </w:r>
      <w:proofErr w:type="spellEnd"/>
      <w:r>
        <w:t xml:space="preserve"> možné, že investoři usilující o příjem budou muset přejít z trhů s pevným výnosem k akciím, aby uspokojili své požadavky na výnos.</w:t>
      </w:r>
    </w:p>
    <w:p w:rsidR="00F057F3" w:rsidRDefault="00F057F3" w:rsidP="00F057F3">
      <w:pPr>
        <w:pStyle w:val="F2-zkladn"/>
        <w:tabs>
          <w:tab w:val="right" w:pos="9070"/>
        </w:tabs>
      </w:pPr>
      <w:r>
        <w:lastRenderedPageBreak/>
        <w:t>„</w:t>
      </w:r>
      <w:r w:rsidRPr="00F057F3">
        <w:rPr>
          <w:i/>
        </w:rPr>
        <w:t>I když se tyto komentáře týkají výnosů „trhu“, my jako aktivní investoři nenakupujeme tržní průměr, ale hledáme akcie, které se obchodují s atraktivnějším oceněním a mají odolnější obchodní modely a vyhlídky na dividend</w:t>
      </w:r>
      <w:r w:rsidRPr="00F057F3">
        <w:rPr>
          <w:i/>
        </w:rPr>
        <w:t>y</w:t>
      </w:r>
      <w:r>
        <w:t xml:space="preserve">,“ podotýká Matthew </w:t>
      </w:r>
      <w:proofErr w:type="spellStart"/>
      <w:r>
        <w:t>Jennings</w:t>
      </w:r>
      <w:proofErr w:type="spellEnd"/>
      <w:r>
        <w:t xml:space="preserve">. </w:t>
      </w:r>
    </w:p>
    <w:p w:rsidR="00F057F3" w:rsidRPr="00F057F3" w:rsidRDefault="00F057F3" w:rsidP="00F057F3">
      <w:pPr>
        <w:pStyle w:val="F2-zkladn"/>
        <w:tabs>
          <w:tab w:val="right" w:pos="9070"/>
        </w:tabs>
        <w:rPr>
          <w:b/>
        </w:rPr>
      </w:pPr>
      <w:r w:rsidRPr="00F057F3">
        <w:rPr>
          <w:b/>
        </w:rPr>
        <w:t>Změny v prioritách vládních výdajů by mohly zvýho</w:t>
      </w:r>
      <w:r w:rsidRPr="00F057F3">
        <w:rPr>
          <w:b/>
        </w:rPr>
        <w:t>dnit udržitelné plátce dividend</w:t>
      </w:r>
    </w:p>
    <w:p w:rsidR="00F057F3" w:rsidRDefault="00F057F3" w:rsidP="00F057F3">
      <w:pPr>
        <w:pStyle w:val="F2-zkladn"/>
        <w:tabs>
          <w:tab w:val="right" w:pos="9070"/>
        </w:tabs>
      </w:pPr>
      <w:r>
        <w:t>Mnoho z největších ekonomik na světě má vyšší procento stárnoucí populace a financování odchodu do důchodu se stalo pro některé vlády velkým dlouhodobým problémem. Dokonce i před současnou krizí se zdálo nevyhnutelné, aby finanční odpovědnost za poskytování důchodů přešla více ze státu na jednotlivce. Nyní, když v důsledku obrovských stimulačních balíčků dojde k navýšení fiskálních deficitů, budou vlády nuceny ještě více přehodnotit své výdajové priority a snížení enormních nákladů na státní důchody se může stát mimořádně naléhavým úkolem.</w:t>
      </w:r>
    </w:p>
    <w:p w:rsidR="00586D3F" w:rsidRDefault="00586D3F" w:rsidP="00F057F3">
      <w:pPr>
        <w:pStyle w:val="F2-zkladn"/>
        <w:tabs>
          <w:tab w:val="right" w:pos="9070"/>
        </w:tabs>
      </w:pPr>
    </w:p>
    <w:tbl>
      <w:tblPr>
        <w:tblStyle w:val="TableGrid23"/>
        <w:tblW w:w="4871" w:type="pct"/>
        <w:tblLayout w:type="fixed"/>
        <w:tblCellMar>
          <w:left w:w="0" w:type="dxa"/>
          <w:right w:w="0" w:type="dxa"/>
        </w:tblCellMar>
        <w:tblLook w:val="04A0" w:firstRow="1" w:lastRow="0" w:firstColumn="1" w:lastColumn="0" w:noHBand="0" w:noVBand="1"/>
      </w:tblPr>
      <w:tblGrid>
        <w:gridCol w:w="8836"/>
      </w:tblGrid>
      <w:tr w:rsidR="00F057F3" w:rsidRPr="00F057F3" w:rsidTr="00F057F3">
        <w:tc>
          <w:tcPr>
            <w:tcW w:w="5000" w:type="pct"/>
            <w:tcMar>
              <w:left w:w="0" w:type="dxa"/>
              <w:right w:w="0" w:type="dxa"/>
            </w:tcMar>
          </w:tcPr>
          <w:p w:rsidR="00F057F3" w:rsidRPr="00F057F3" w:rsidRDefault="00F057F3" w:rsidP="00F057F3">
            <w:pPr>
              <w:spacing w:before="0" w:line="276" w:lineRule="auto"/>
              <w:contextualSpacing/>
              <w:rPr>
                <w:rFonts w:eastAsia="Calibri"/>
                <w:sz w:val="20"/>
                <w:u w:val="single"/>
                <w:lang w:eastAsia="en-US"/>
              </w:rPr>
            </w:pPr>
            <w:r w:rsidRPr="00F057F3">
              <w:rPr>
                <w:rFonts w:eastAsia="Calibri"/>
                <w:sz w:val="20"/>
                <w:u w:val="single"/>
                <w:lang w:eastAsia="en-US"/>
              </w:rPr>
              <w:t xml:space="preserve">MMF - </w:t>
            </w:r>
            <w:proofErr w:type="spellStart"/>
            <w:r w:rsidRPr="00F057F3">
              <w:rPr>
                <w:rFonts w:eastAsia="Calibri"/>
                <w:sz w:val="20"/>
                <w:u w:val="single"/>
                <w:lang w:eastAsia="en-US"/>
              </w:rPr>
              <w:t>Světová</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prognóza</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fiskálního</w:t>
            </w:r>
            <w:proofErr w:type="spellEnd"/>
            <w:r w:rsidRPr="00F057F3">
              <w:rPr>
                <w:rFonts w:eastAsia="Calibri"/>
                <w:sz w:val="20"/>
                <w:u w:val="single"/>
                <w:lang w:eastAsia="en-US"/>
              </w:rPr>
              <w:t xml:space="preserve"> </w:t>
            </w:r>
            <w:proofErr w:type="spellStart"/>
            <w:r w:rsidRPr="00F057F3">
              <w:rPr>
                <w:rFonts w:eastAsia="Calibri"/>
                <w:sz w:val="20"/>
                <w:u w:val="single"/>
                <w:lang w:eastAsia="en-US"/>
              </w:rPr>
              <w:t>deficitu</w:t>
            </w:r>
            <w:proofErr w:type="spellEnd"/>
          </w:p>
        </w:tc>
      </w:tr>
      <w:tr w:rsidR="00F057F3" w:rsidRPr="00F057F3" w:rsidTr="00F057F3">
        <w:tc>
          <w:tcPr>
            <w:tcW w:w="5000" w:type="pct"/>
            <w:tcMar>
              <w:left w:w="0" w:type="dxa"/>
              <w:right w:w="0" w:type="dxa"/>
            </w:tcMar>
          </w:tcPr>
          <w:p w:rsidR="00F057F3" w:rsidRPr="00F057F3" w:rsidRDefault="00F057F3" w:rsidP="00F057F3">
            <w:pPr>
              <w:spacing w:before="120" w:after="120" w:line="240" w:lineRule="auto"/>
              <w:rPr>
                <w:rFonts w:ascii="Calibri" w:hAnsi="Calibri" w:cs="Times New Roman"/>
                <w:sz w:val="2"/>
                <w:szCs w:val="2"/>
                <w:lang w:eastAsia="en-GB"/>
              </w:rPr>
            </w:pPr>
            <w:r w:rsidRPr="00F057F3">
              <w:rPr>
                <w:rFonts w:ascii="Calibri" w:hAnsi="Calibri" w:cs="Times New Roman"/>
                <w:noProof/>
                <w:sz w:val="2"/>
                <w:szCs w:val="2"/>
              </w:rPr>
              <w:drawing>
                <wp:inline distT="0" distB="0" distL="0" distR="0" wp14:anchorId="262E8530" wp14:editId="61B840B4">
                  <wp:extent cx="3451860" cy="2340000"/>
                  <wp:effectExtent l="0" t="0" r="0" b="0"/>
                  <wp:docPr id="20" name="Chart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67205440-5E7A-4E08-AA5B-FB0EBDF48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F057F3" w:rsidRPr="00F057F3" w:rsidTr="00F057F3">
        <w:tblPrEx>
          <w:tblCellMar>
            <w:left w:w="108" w:type="dxa"/>
            <w:right w:w="108" w:type="dxa"/>
          </w:tblCellMar>
        </w:tblPrEx>
        <w:tc>
          <w:tcPr>
            <w:tcW w:w="5000" w:type="pct"/>
          </w:tcPr>
          <w:p w:rsidR="00F057F3" w:rsidRDefault="00F057F3" w:rsidP="00F057F3">
            <w:pPr>
              <w:spacing w:before="0" w:line="276" w:lineRule="auto"/>
              <w:contextualSpacing/>
              <w:rPr>
                <w:rFonts w:eastAsia="Calibri"/>
                <w:u w:val="single"/>
                <w:lang w:eastAsia="en-US"/>
              </w:rPr>
            </w:pPr>
          </w:p>
          <w:p w:rsidR="00F057F3" w:rsidRPr="00F057F3" w:rsidRDefault="00F057F3" w:rsidP="00F057F3">
            <w:pPr>
              <w:spacing w:before="0" w:line="276" w:lineRule="auto"/>
              <w:contextualSpacing/>
              <w:rPr>
                <w:rFonts w:eastAsia="Calibri"/>
                <w:u w:val="single"/>
                <w:lang w:eastAsia="en-US"/>
              </w:rPr>
            </w:pPr>
            <w:proofErr w:type="spellStart"/>
            <w:r w:rsidRPr="00F057F3">
              <w:rPr>
                <w:rFonts w:eastAsia="Calibri"/>
                <w:sz w:val="20"/>
                <w:u w:val="single"/>
                <w:lang w:eastAsia="en-US"/>
              </w:rPr>
              <w:t>Světová</w:t>
            </w:r>
            <w:proofErr w:type="spellEnd"/>
            <w:r w:rsidRPr="00F057F3">
              <w:rPr>
                <w:rFonts w:eastAsia="Calibri"/>
                <w:sz w:val="20"/>
                <w:u w:val="single"/>
                <w:lang w:eastAsia="en-US"/>
              </w:rPr>
              <w:t xml:space="preserve"> populace (v </w:t>
            </w:r>
            <w:proofErr w:type="spellStart"/>
            <w:r w:rsidRPr="00F057F3">
              <w:rPr>
                <w:rFonts w:eastAsia="Calibri"/>
                <w:sz w:val="20"/>
                <w:u w:val="single"/>
                <w:lang w:eastAsia="en-US"/>
              </w:rPr>
              <w:t>miliardách</w:t>
            </w:r>
            <w:proofErr w:type="spellEnd"/>
            <w:r w:rsidRPr="00F057F3">
              <w:rPr>
                <w:rFonts w:eastAsia="Calibri"/>
                <w:sz w:val="20"/>
                <w:u w:val="single"/>
                <w:lang w:eastAsia="en-US"/>
              </w:rPr>
              <w:t>)</w:t>
            </w:r>
          </w:p>
        </w:tc>
      </w:tr>
      <w:tr w:rsidR="00F057F3" w:rsidRPr="00F057F3" w:rsidTr="00F057F3">
        <w:tblPrEx>
          <w:tblCellMar>
            <w:left w:w="108" w:type="dxa"/>
            <w:right w:w="108" w:type="dxa"/>
          </w:tblCellMar>
        </w:tblPrEx>
        <w:tc>
          <w:tcPr>
            <w:tcW w:w="5000" w:type="pct"/>
          </w:tcPr>
          <w:p w:rsidR="00F057F3" w:rsidRPr="00F057F3" w:rsidRDefault="00F057F3" w:rsidP="00F057F3">
            <w:pPr>
              <w:spacing w:before="120" w:after="120" w:line="240" w:lineRule="auto"/>
              <w:rPr>
                <w:rFonts w:ascii="Calibri" w:hAnsi="Calibri" w:cs="Times New Roman"/>
                <w:sz w:val="2"/>
                <w:szCs w:val="2"/>
                <w:lang w:eastAsia="en-GB"/>
              </w:rPr>
            </w:pPr>
            <w:r w:rsidRPr="00F057F3">
              <w:rPr>
                <w:rFonts w:ascii="Calibri" w:hAnsi="Calibri" w:cs="Times New Roman"/>
                <w:noProof/>
                <w:sz w:val="2"/>
                <w:szCs w:val="2"/>
              </w:rPr>
              <w:drawing>
                <wp:anchor distT="0" distB="0" distL="114300" distR="114300" simplePos="0" relativeHeight="251661312" behindDoc="1" locked="0" layoutInCell="1" allowOverlap="1" wp14:anchorId="7497110E" wp14:editId="627633DB">
                  <wp:simplePos x="0" y="0"/>
                  <wp:positionH relativeFrom="column">
                    <wp:posOffset>3603625</wp:posOffset>
                  </wp:positionH>
                  <wp:positionV relativeFrom="paragraph">
                    <wp:posOffset>616585</wp:posOffset>
                  </wp:positionV>
                  <wp:extent cx="1143000" cy="1676400"/>
                  <wp:effectExtent l="0" t="0" r="0" b="0"/>
                  <wp:wrapTight wrapText="bothSides">
                    <wp:wrapPolygon edited="0">
                      <wp:start x="1440" y="245"/>
                      <wp:lineTo x="360" y="4418"/>
                      <wp:lineTo x="360" y="6873"/>
                      <wp:lineTo x="5040" y="8591"/>
                      <wp:lineTo x="1440" y="8591"/>
                      <wp:lineTo x="1440" y="12518"/>
                      <wp:lineTo x="10800" y="12518"/>
                      <wp:lineTo x="1440" y="13745"/>
                      <wp:lineTo x="1440" y="15218"/>
                      <wp:lineTo x="10800" y="16445"/>
                      <wp:lineTo x="1800" y="16445"/>
                      <wp:lineTo x="1080" y="16691"/>
                      <wp:lineTo x="1080" y="20618"/>
                      <wp:lineTo x="19800" y="20618"/>
                      <wp:lineTo x="20520" y="17182"/>
                      <wp:lineTo x="18360" y="16445"/>
                      <wp:lineTo x="10800" y="16445"/>
                      <wp:lineTo x="19440" y="14973"/>
                      <wp:lineTo x="19440" y="13745"/>
                      <wp:lineTo x="10800" y="12518"/>
                      <wp:lineTo x="19440" y="12273"/>
                      <wp:lineTo x="19440" y="8591"/>
                      <wp:lineTo x="15120" y="8591"/>
                      <wp:lineTo x="20880" y="6382"/>
                      <wp:lineTo x="19800" y="245"/>
                      <wp:lineTo x="1440" y="245"/>
                    </wp:wrapPolygon>
                  </wp:wrapTight>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1676400"/>
                          </a:xfrm>
                          <a:prstGeom prst="rect">
                            <a:avLst/>
                          </a:prstGeom>
                          <a:noFill/>
                          <a:ln>
                            <a:noFill/>
                          </a:ln>
                        </pic:spPr>
                      </pic:pic>
                    </a:graphicData>
                  </a:graphic>
                </wp:anchor>
              </w:drawing>
            </w:r>
            <w:r w:rsidRPr="00F057F3">
              <w:rPr>
                <w:rFonts w:ascii="Calibri" w:hAnsi="Calibri" w:cs="Times New Roman"/>
                <w:noProof/>
                <w:sz w:val="2"/>
                <w:szCs w:val="2"/>
              </w:rPr>
              <w:drawing>
                <wp:inline distT="0" distB="0" distL="0" distR="0" wp14:anchorId="6BB03671" wp14:editId="62257DBE">
                  <wp:extent cx="3375660" cy="2943225"/>
                  <wp:effectExtent l="0" t="0" r="0" b="0"/>
                  <wp:docPr id="21" name="Chart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D3DA4BBD-424E-4114-B2E9-98E2A134B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F057F3" w:rsidRPr="00F057F3" w:rsidRDefault="00F057F3" w:rsidP="00F057F3">
      <w:pPr>
        <w:spacing w:before="40" w:after="120" w:line="259" w:lineRule="auto"/>
        <w:rPr>
          <w:rFonts w:eastAsia="Calibri"/>
          <w:sz w:val="18"/>
          <w:szCs w:val="18"/>
          <w:lang w:eastAsia="en-US"/>
        </w:rPr>
      </w:pPr>
      <w:r w:rsidRPr="00F057F3">
        <w:rPr>
          <w:rFonts w:eastAsia="Calibri"/>
          <w:sz w:val="18"/>
          <w:szCs w:val="18"/>
          <w:lang w:eastAsia="en-US"/>
        </w:rPr>
        <w:t xml:space="preserve">Source: LHS: IMF, May 2020 RHS, United </w:t>
      </w:r>
      <w:proofErr w:type="spellStart"/>
      <w:r w:rsidRPr="00F057F3">
        <w:rPr>
          <w:rFonts w:eastAsia="Calibri"/>
          <w:sz w:val="18"/>
          <w:szCs w:val="18"/>
          <w:lang w:eastAsia="en-US"/>
        </w:rPr>
        <w:t>Nations</w:t>
      </w:r>
      <w:proofErr w:type="spellEnd"/>
      <w:r w:rsidRPr="00F057F3">
        <w:rPr>
          <w:rFonts w:eastAsia="Calibri"/>
          <w:sz w:val="18"/>
          <w:szCs w:val="18"/>
          <w:lang w:eastAsia="en-US"/>
        </w:rPr>
        <w:t xml:space="preserve"> World </w:t>
      </w:r>
      <w:proofErr w:type="spellStart"/>
      <w:r w:rsidRPr="00F057F3">
        <w:rPr>
          <w:rFonts w:eastAsia="Calibri"/>
          <w:sz w:val="18"/>
          <w:szCs w:val="18"/>
          <w:lang w:eastAsia="en-US"/>
        </w:rPr>
        <w:t>Population</w:t>
      </w:r>
      <w:proofErr w:type="spellEnd"/>
      <w:r w:rsidRPr="00F057F3">
        <w:rPr>
          <w:rFonts w:eastAsia="Calibri"/>
          <w:sz w:val="18"/>
          <w:szCs w:val="18"/>
          <w:lang w:eastAsia="en-US"/>
        </w:rPr>
        <w:t xml:space="preserve"> </w:t>
      </w:r>
      <w:proofErr w:type="spellStart"/>
      <w:r w:rsidRPr="00F057F3">
        <w:rPr>
          <w:rFonts w:eastAsia="Calibri"/>
          <w:sz w:val="18"/>
          <w:szCs w:val="18"/>
          <w:lang w:eastAsia="en-US"/>
        </w:rPr>
        <w:t>Prospects</w:t>
      </w:r>
      <w:proofErr w:type="spellEnd"/>
      <w:r w:rsidRPr="00F057F3">
        <w:rPr>
          <w:rFonts w:eastAsia="Calibri"/>
          <w:sz w:val="18"/>
          <w:szCs w:val="18"/>
          <w:lang w:eastAsia="en-US"/>
        </w:rPr>
        <w:t xml:space="preserve"> 2019</w:t>
      </w:r>
    </w:p>
    <w:p w:rsidR="00F057F3" w:rsidRDefault="00F057F3" w:rsidP="00F057F3">
      <w:r>
        <w:lastRenderedPageBreak/>
        <w:t>„</w:t>
      </w:r>
      <w:r w:rsidRPr="00F057F3">
        <w:rPr>
          <w:i/>
        </w:rPr>
        <w:t>Jsou-li jednotlivci nuceni našetřit si více na svůj odchod do důchodu, jakou investiční možnost si vyberou? Dobrým řešením by mohlo být diverzifikované portfolio udržitelných společností vyplácejících dividendy. Dividendy mohou být použity jako zdroj příjmů pro ty, kteří odcházejí do důchodu, nebo mohou být znovu investovány těmi, kteří jsou ve fázi „akumulace“ svých úspor,</w:t>
      </w:r>
      <w:r>
        <w:t xml:space="preserve">“ shrnuje Eva </w:t>
      </w:r>
      <w:proofErr w:type="spellStart"/>
      <w:r>
        <w:t>Miklášová</w:t>
      </w:r>
      <w:proofErr w:type="spellEnd"/>
      <w:r>
        <w:t xml:space="preserve"> z </w:t>
      </w:r>
      <w:proofErr w:type="spellStart"/>
      <w:r>
        <w:t>Fidelity</w:t>
      </w:r>
      <w:proofErr w:type="spellEnd"/>
      <w:r>
        <w:t xml:space="preserve"> International.</w:t>
      </w:r>
    </w:p>
    <w:p w:rsidR="00F057F3" w:rsidRPr="00E2577F" w:rsidRDefault="00F057F3" w:rsidP="00F057F3">
      <w:r w:rsidRPr="00E2577F">
        <w:t xml:space="preserve">Růst kapitálu a příjmů může být vyžadován pro podporu delší doby odchodu do důchodu </w:t>
      </w:r>
      <w:r>
        <w:t>v souvislosti s</w:t>
      </w:r>
      <w:r w:rsidRPr="00E2577F">
        <w:t>e stárnutím populace, což zvyšuje strukturální argument</w:t>
      </w:r>
      <w:r>
        <w:t>aci</w:t>
      </w:r>
      <w:r w:rsidRPr="00E2577F">
        <w:t xml:space="preserve"> pro akcie jako zdroj příjmů</w:t>
      </w:r>
      <w:r>
        <w:t>.</w:t>
      </w:r>
    </w:p>
    <w:p w:rsidR="00F057F3" w:rsidRPr="00F057F3" w:rsidRDefault="00F057F3" w:rsidP="00F057F3">
      <w:pPr>
        <w:pStyle w:val="F2-zkladn"/>
        <w:tabs>
          <w:tab w:val="right" w:pos="9070"/>
        </w:tabs>
      </w:pPr>
    </w:p>
    <w:p w:rsidR="001A0CB6" w:rsidRPr="009C3DB4" w:rsidRDefault="001A0CB6" w:rsidP="00AC35C4">
      <w:pPr>
        <w:pStyle w:val="F2-zkladn"/>
        <w:tabs>
          <w:tab w:val="right" w:pos="9070"/>
        </w:tabs>
        <w:rPr>
          <w:b/>
        </w:rPr>
      </w:pPr>
      <w:r w:rsidRPr="009C3DB4">
        <w:rPr>
          <w:b/>
        </w:rPr>
        <w:t>Pro více informací kontaktujte:</w:t>
      </w:r>
    </w:p>
    <w:p w:rsidR="001A0CB6" w:rsidRPr="009C3DB4" w:rsidRDefault="001A0CB6" w:rsidP="00AC35C4">
      <w:pPr>
        <w:spacing w:before="0" w:line="360" w:lineRule="auto"/>
        <w:rPr>
          <w:b/>
        </w:rPr>
      </w:pPr>
    </w:p>
    <w:p w:rsidR="001A0CB6" w:rsidRPr="009C3DB4" w:rsidRDefault="001A0CB6" w:rsidP="00AC35C4">
      <w:pPr>
        <w:spacing w:before="0" w:line="360" w:lineRule="auto"/>
        <w:rPr>
          <w:b/>
        </w:rPr>
      </w:pPr>
      <w:smartTag w:uri="urn:schemas-microsoft-com:office:smarttags" w:element="PersonName">
        <w:smartTagPr>
          <w:attr w:name="ProductID" w:val="Marcela Štefcová"/>
        </w:smartTagPr>
        <w:r w:rsidRPr="009C3DB4">
          <w:rPr>
            <w:b/>
          </w:rPr>
          <w:t>Marcela Štefcová</w:t>
        </w:r>
      </w:smartTag>
    </w:p>
    <w:p w:rsidR="001A0CB6" w:rsidRPr="009C3DB4" w:rsidRDefault="001A0CB6" w:rsidP="00AC35C4">
      <w:pPr>
        <w:spacing w:before="0" w:line="240" w:lineRule="atLeast"/>
        <w:rPr>
          <w:b/>
          <w:bCs/>
        </w:rPr>
      </w:pPr>
      <w:r w:rsidRPr="009C3DB4">
        <w:rPr>
          <w:b/>
          <w:bCs/>
        </w:rPr>
        <w:t>Crest Communications, a.s.</w:t>
      </w:r>
    </w:p>
    <w:p w:rsidR="001A0CB6" w:rsidRPr="009C3DB4" w:rsidRDefault="001A0CB6" w:rsidP="00AC35C4">
      <w:pPr>
        <w:spacing w:before="0" w:line="240" w:lineRule="atLeast"/>
      </w:pPr>
    </w:p>
    <w:p w:rsidR="001A0CB6" w:rsidRPr="009C3DB4" w:rsidRDefault="001A0CB6" w:rsidP="00AC35C4">
      <w:pPr>
        <w:spacing w:before="0" w:line="240" w:lineRule="atLeast"/>
      </w:pPr>
      <w:r w:rsidRPr="009C3DB4">
        <w:t>Ostrovní 126/30</w:t>
      </w:r>
    </w:p>
    <w:p w:rsidR="001A0CB6" w:rsidRPr="009C3DB4" w:rsidRDefault="001A0CB6" w:rsidP="00AC35C4">
      <w:pPr>
        <w:spacing w:before="0" w:line="240" w:lineRule="atLeast"/>
      </w:pPr>
      <w:r w:rsidRPr="009C3DB4">
        <w:t>110 00 Praha 1</w:t>
      </w:r>
    </w:p>
    <w:p w:rsidR="001A0CB6" w:rsidRPr="009C3DB4" w:rsidRDefault="001A0CB6" w:rsidP="00AC35C4">
      <w:pPr>
        <w:spacing w:before="0" w:line="240" w:lineRule="atLeast"/>
      </w:pPr>
      <w:proofErr w:type="spellStart"/>
      <w:r w:rsidRPr="009C3DB4">
        <w:t>gsm</w:t>
      </w:r>
      <w:proofErr w:type="spellEnd"/>
      <w:r w:rsidRPr="009C3DB4">
        <w:t>: + 420 731 613 669</w:t>
      </w:r>
    </w:p>
    <w:p w:rsidR="001A0CB6" w:rsidRPr="009C3DB4" w:rsidRDefault="00443D2F" w:rsidP="00AC35C4">
      <w:pPr>
        <w:spacing w:before="0" w:line="240" w:lineRule="atLeast"/>
      </w:pPr>
      <w:hyperlink w:tooltip="blocked::http://www.crestcom.cz&#10;http://www.crestcom.cz/" w:history="1">
        <w:r w:rsidR="001A0CB6" w:rsidRPr="009C3DB4">
          <w:rPr>
            <w:rStyle w:val="Hypertextovodkaz"/>
            <w:color w:val="990033"/>
          </w:rPr>
          <w:t>www.crestcom.cz</w:t>
        </w:r>
      </w:hyperlink>
    </w:p>
    <w:p w:rsidR="001A0CB6" w:rsidRPr="009C3DB4" w:rsidRDefault="001A0CB6" w:rsidP="00AC35C4">
      <w:pPr>
        <w:spacing w:before="0" w:line="240" w:lineRule="atLeast"/>
      </w:pPr>
      <w:r w:rsidRPr="009C3DB4">
        <w:rPr>
          <w:color w:val="000000"/>
        </w:rPr>
        <w:t xml:space="preserve">e-mail: </w:t>
      </w:r>
      <w:hyperlink r:id="rId17" w:history="1">
        <w:r w:rsidRPr="009C3DB4">
          <w:rPr>
            <w:rStyle w:val="Hypertextovodkaz"/>
            <w:color w:val="990033"/>
          </w:rPr>
          <w:t>marcela.stefcova@crestcom.cz</w:t>
        </w:r>
      </w:hyperlink>
    </w:p>
    <w:p w:rsidR="00C16BE6" w:rsidRDefault="00C16BE6" w:rsidP="00C16BE6">
      <w:pPr>
        <w:pStyle w:val="F2-zkladn"/>
        <w:rPr>
          <w:b/>
        </w:rPr>
      </w:pPr>
      <w:r w:rsidRPr="009C3DB4">
        <w:rPr>
          <w:b/>
        </w:rPr>
        <w:t>Informace pro editory:</w:t>
      </w:r>
    </w:p>
    <w:p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rsidR="00C16BE6" w:rsidRPr="00FA269B" w:rsidRDefault="00C16BE6" w:rsidP="00C16BE6">
      <w:pPr>
        <w:pStyle w:val="F2-zkladn"/>
        <w:rPr>
          <w:b/>
        </w:rPr>
      </w:pPr>
      <w:r w:rsidRPr="00FA269B">
        <w:rPr>
          <w:b/>
        </w:rPr>
        <w:t>Upozornění na rizika</w:t>
      </w:r>
    </w:p>
    <w:p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rsidR="00C16BE6" w:rsidRDefault="00C16BE6" w:rsidP="00C16BE6">
      <w:pPr>
        <w:pStyle w:val="F2-zkladn"/>
        <w:spacing w:line="240" w:lineRule="auto"/>
        <w:rPr>
          <w:b/>
          <w:sz w:val="18"/>
          <w:szCs w:val="18"/>
        </w:rPr>
      </w:pPr>
      <w:r>
        <w:rPr>
          <w:b/>
          <w:sz w:val="18"/>
          <w:szCs w:val="18"/>
        </w:rPr>
        <w:t>Vydává</w:t>
      </w:r>
    </w:p>
    <w:p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lastRenderedPageBreak/>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w:t>
      </w:r>
      <w:smartTag w:uri="urn:schemas-microsoft-com:office:smarttags" w:element="place">
        <w:smartTag w:uri="urn:schemas-microsoft-com:office:smarttags" w:element="country-region">
          <w:r w:rsidRPr="00681745">
            <w:rPr>
              <w:color w:val="000000"/>
              <w:sz w:val="18"/>
              <w:szCs w:val="18"/>
              <w:lang w:val="en-US"/>
            </w:rPr>
            <w:t>Ireland</w:t>
          </w:r>
        </w:smartTag>
      </w:smartTag>
      <w:r w:rsidRPr="00681745">
        <w:rPr>
          <w:color w:val="000000"/>
          <w:sz w:val="18"/>
          <w:szCs w:val="18"/>
          <w:lang w:val="en-US"/>
        </w:rPr>
        <w:t xml:space="preserve"> as a UCITS.</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w:t>
      </w:r>
      <w:smartTag w:uri="urn:schemas-microsoft-com:office:smarttags" w:element="place">
        <w:r w:rsidRPr="00681745">
          <w:rPr>
            <w:color w:val="000000"/>
            <w:sz w:val="18"/>
            <w:szCs w:val="18"/>
            <w:lang w:val="en-US"/>
          </w:rPr>
          <w:t>North America</w:t>
        </w:r>
      </w:smartTag>
      <w:r w:rsidRPr="00681745">
        <w:rPr>
          <w:color w:val="000000"/>
          <w:sz w:val="18"/>
          <w:szCs w:val="18"/>
          <w:lang w:val="en-US"/>
        </w:rPr>
        <w:t xml:space="preserve">. This communication is not directed at, and must not be acted upon by persons inside the </w:t>
      </w:r>
      <w:smartTag w:uri="urn:schemas-microsoft-com:office:smarttags" w:element="place">
        <w:smartTag w:uri="urn:schemas-microsoft-com:office:smarttags" w:element="country-region">
          <w:r w:rsidRPr="00681745">
            <w:rPr>
              <w:color w:val="000000"/>
              <w:sz w:val="18"/>
              <w:szCs w:val="18"/>
              <w:lang w:val="en-US"/>
            </w:rPr>
            <w:t>United States</w:t>
          </w:r>
        </w:smartTag>
      </w:smartTag>
      <w:r w:rsidRPr="00681745">
        <w:rPr>
          <w:color w:val="000000"/>
          <w:sz w:val="18"/>
          <w:szCs w:val="18"/>
          <w:lang w:val="en-US"/>
        </w:rPr>
        <w:t xml:space="preserve">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w:t>
      </w:r>
      <w:smartTag w:uri="urn:schemas-microsoft-com:office:smarttags" w:element="place">
        <w:smartTag w:uri="urn:schemas-microsoft-com:office:smarttags" w:element="City">
          <w:r w:rsidRPr="00681745">
            <w:rPr>
              <w:color w:val="000000"/>
              <w:sz w:val="18"/>
              <w:szCs w:val="18"/>
              <w:lang w:val="en-US"/>
            </w:rPr>
            <w:t>Vienna</w:t>
          </w:r>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w:t>
      </w:r>
      <w:smartTag w:uri="urn:schemas-microsoft-com:office:smarttags" w:element="place">
        <w:smartTag w:uri="urn:schemas-microsoft-com:office:smarttags" w:element="City">
          <w:r w:rsidRPr="00681745">
            <w:rPr>
              <w:color w:val="000000"/>
              <w:sz w:val="18"/>
              <w:szCs w:val="18"/>
              <w:lang w:val="en-US"/>
            </w:rPr>
            <w:t>de Berri</w:t>
          </w:r>
        </w:smartTag>
        <w:r w:rsidRPr="00681745">
          <w:rPr>
            <w:color w:val="000000"/>
            <w:sz w:val="18"/>
            <w:szCs w:val="18"/>
            <w:lang w:val="en-US"/>
          </w:rPr>
          <w:t xml:space="preserve">, </w:t>
        </w:r>
        <w:smartTag w:uri="urn:schemas-microsoft-com:office:smarttags" w:element="PostalCode">
          <w:r w:rsidRPr="00681745">
            <w:rPr>
              <w:color w:val="000000"/>
              <w:sz w:val="18"/>
              <w:szCs w:val="18"/>
              <w:lang w:val="en-US"/>
            </w:rPr>
            <w:t>75008</w:t>
          </w:r>
        </w:smartTag>
      </w:smartTag>
      <w:r w:rsidRPr="00681745">
        <w:rPr>
          <w:color w:val="000000"/>
          <w:sz w:val="18"/>
          <w:szCs w:val="18"/>
          <w:lang w:val="en-US"/>
        </w:rPr>
        <w:t xml:space="preserve"> Paris. The document is available in French upon request. </w:t>
      </w:r>
      <w:smartTag w:uri="urn:schemas-microsoft-com:office:smarttags" w:element="place">
        <w:smartTag w:uri="urn:schemas-microsoft-com:office:smarttags" w:element="country-region">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smartTag w:uri="urn:schemas-microsoft-com:office:smarttags" w:element="country-region">
        <w:r w:rsidRPr="00681745">
          <w:rPr>
            <w:b/>
            <w:bCs/>
            <w:color w:val="000000"/>
            <w:sz w:val="18"/>
            <w:szCs w:val="18"/>
            <w:lang w:val="en-US"/>
          </w:rPr>
          <w:t>Hungary</w:t>
        </w:r>
      </w:smartTag>
      <w:r w:rsidRPr="00681745">
        <w:rPr>
          <w:color w:val="000000"/>
          <w:sz w:val="18"/>
          <w:szCs w:val="18"/>
          <w:lang w:val="en-US"/>
        </w:rPr>
        <w:t xml:space="preserve">: </w:t>
      </w:r>
      <w:proofErr w:type="spellStart"/>
      <w:r w:rsidRPr="00681745">
        <w:rPr>
          <w:color w:val="000000"/>
          <w:sz w:val="18"/>
          <w:szCs w:val="18"/>
          <w:lang w:val="en-US"/>
        </w:rPr>
        <w:t>Raiffeisen</w:t>
      </w:r>
      <w:proofErr w:type="spellEnd"/>
      <w:r w:rsidRPr="00681745">
        <w:rPr>
          <w:color w:val="000000"/>
          <w:sz w:val="18"/>
          <w:szCs w:val="18"/>
          <w:lang w:val="en-US"/>
        </w:rPr>
        <w:t xml:space="preserve">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w:t>
      </w:r>
      <w:smartTag w:uri="urn:schemas-microsoft-com:office:smarttags" w:element="place">
        <w:smartTag w:uri="urn:schemas-microsoft-com:office:smarttags" w:element="City">
          <w:r w:rsidRPr="00681745">
            <w:rPr>
              <w:color w:val="000000"/>
              <w:sz w:val="18"/>
              <w:szCs w:val="18"/>
              <w:lang w:val="en-US"/>
            </w:rPr>
            <w:t>Budapest</w:t>
          </w:r>
        </w:smartTag>
      </w:smartTag>
      <w:r w:rsidRPr="00681745">
        <w:rPr>
          <w:color w:val="000000"/>
          <w:sz w:val="18"/>
          <w:szCs w:val="18"/>
          <w:lang w:val="en-US"/>
        </w:rPr>
        <w: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smartTag w:uri="urn:schemas-microsoft-com:office:smarttags" w:element="country-region">
        <w:r w:rsidRPr="00681745">
          <w:rPr>
            <w:b/>
            <w:bCs/>
            <w:color w:val="000000"/>
            <w:sz w:val="18"/>
            <w:szCs w:val="18"/>
            <w:lang w:val="en-US"/>
          </w:rPr>
          <w:t>Poland</w:t>
        </w:r>
      </w:smartTag>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 xml:space="preserve">Our representative office in </w:t>
      </w:r>
      <w:smartTag w:uri="urn:schemas-microsoft-com:office:smarttags" w:element="place">
        <w:smartTag w:uri="urn:schemas-microsoft-com:office:smarttags" w:element="country-region">
          <w:r w:rsidRPr="00681745">
            <w:rPr>
              <w:color w:val="000000"/>
              <w:sz w:val="18"/>
              <w:szCs w:val="18"/>
              <w:lang w:val="en-US"/>
            </w:rPr>
            <w:t>Poland</w:t>
          </w:r>
        </w:smartTag>
      </w:smartTag>
      <w:r w:rsidRPr="00681745">
        <w:rPr>
          <w:color w:val="000000"/>
          <w:sz w:val="18"/>
          <w:szCs w:val="18"/>
          <w:lang w:val="en-US"/>
        </w:rPr>
        <w:t xml:space="preserve"> or on www.fidelity.pl. The Additional Information for Investors is available upon request. </w:t>
      </w:r>
      <w:smartTag w:uri="urn:schemas-microsoft-com:office:smarttags" w:element="country-region">
        <w:r w:rsidRPr="00681745">
          <w:rPr>
            <w:b/>
            <w:bCs/>
            <w:color w:val="000000"/>
            <w:sz w:val="18"/>
            <w:szCs w:val="18"/>
            <w:lang w:val="en-US"/>
          </w:rPr>
          <w:t>Slovakia</w:t>
        </w:r>
      </w:smartTag>
      <w:r w:rsidRPr="00681745">
        <w:rPr>
          <w:b/>
          <w:bCs/>
          <w:color w:val="000000"/>
          <w:sz w:val="18"/>
          <w:szCs w:val="18"/>
          <w:lang w:val="en-US"/>
        </w:rPr>
        <w:t>:</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w:t>
      </w:r>
      <w:smartTag w:uri="urn:schemas-microsoft-com:office:smarttags" w:element="country-region">
        <w:r w:rsidRPr="00681745">
          <w:rPr>
            <w:color w:val="000000"/>
            <w:sz w:val="18"/>
            <w:szCs w:val="18"/>
            <w:lang w:val="en-US"/>
          </w:rPr>
          <w:t>Slovakia</w:t>
        </w:r>
      </w:smartTag>
      <w:r w:rsidRPr="00681745">
        <w:rPr>
          <w:color w:val="000000"/>
          <w:sz w:val="18"/>
          <w:szCs w:val="18"/>
          <w:lang w:val="en-US"/>
        </w:rPr>
        <w:t xml:space="preserve">,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w:t>
      </w:r>
      <w:smartTag w:uri="urn:schemas-microsoft-com:office:smarttags" w:element="place">
        <w:smartTag w:uri="urn:schemas-microsoft-com:office:smarttags" w:element="country-region">
          <w:r w:rsidRPr="00681745">
            <w:rPr>
              <w:color w:val="000000"/>
              <w:sz w:val="18"/>
              <w:szCs w:val="18"/>
              <w:lang w:val="en-US"/>
            </w:rPr>
            <w:t>Slovakia</w:t>
          </w:r>
        </w:smartTag>
      </w:smartTag>
      <w:r w:rsidRPr="00681745">
        <w:rPr>
          <w:color w:val="000000"/>
          <w:sz w:val="18"/>
          <w:szCs w:val="18"/>
          <w:lang w:val="en-US"/>
        </w:rPr>
        <w:t>. The KIID is available in Slovak language.</w:t>
      </w:r>
    </w:p>
    <w:p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Issued by: FIL (</w:t>
      </w:r>
      <w:smartTag w:uri="urn:schemas-microsoft-com:office:smarttags" w:element="country-region">
        <w:r w:rsidRPr="00681745">
          <w:rPr>
            <w:color w:val="000000"/>
            <w:sz w:val="18"/>
            <w:szCs w:val="18"/>
            <w:lang w:val="en-US"/>
          </w:rPr>
          <w:t>Luxembourg</w:t>
        </w:r>
      </w:smartTag>
      <w:r w:rsidRPr="00681745">
        <w:rPr>
          <w:color w:val="000000"/>
          <w:sz w:val="18"/>
          <w:szCs w:val="18"/>
          <w:lang w:val="en-US"/>
        </w:rPr>
        <w:t xml:space="preserve">) </w:t>
      </w:r>
      <w:smartTag w:uri="urn:schemas-microsoft-com:office:smarttags" w:element="place">
        <w:smartTag w:uri="urn:schemas-microsoft-com:office:smarttags" w:element="country-region">
          <w:r w:rsidRPr="00681745">
            <w:rPr>
              <w:color w:val="000000"/>
              <w:sz w:val="18"/>
              <w:szCs w:val="18"/>
              <w:lang w:val="en-US"/>
            </w:rPr>
            <w:t>S.A.</w:t>
          </w:r>
        </w:smartTag>
      </w:smartTag>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8"/>
      <w:footerReference w:type="default" r:id="rId19"/>
      <w:headerReference w:type="first" r:id="rId20"/>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2F" w:rsidRDefault="00443D2F">
      <w:r>
        <w:separator/>
      </w:r>
    </w:p>
  </w:endnote>
  <w:endnote w:type="continuationSeparator" w:id="0">
    <w:p w:rsidR="00443D2F" w:rsidRDefault="0044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2F" w:rsidRDefault="00443D2F">
      <w:r>
        <w:separator/>
      </w:r>
    </w:p>
  </w:footnote>
  <w:footnote w:type="continuationSeparator" w:id="0">
    <w:p w:rsidR="00443D2F" w:rsidRDefault="00443D2F">
      <w:r>
        <w:continuationSeparator/>
      </w:r>
    </w:p>
  </w:footnote>
  <w:footnote w:type="continuationNotice" w:id="1">
    <w:p w:rsidR="00443D2F" w:rsidRDefault="00443D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1D1343"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43" w:rsidRDefault="00BE7B01">
    <w:pPr>
      <w:pStyle w:val="Zhlav"/>
    </w:pPr>
    <w:r>
      <w:rPr>
        <w:noProof/>
      </w:rPr>
      <w:drawing>
        <wp:anchor distT="0" distB="0" distL="114300" distR="114300" simplePos="0" relativeHeight="251657728" behindDoc="0" locked="0" layoutInCell="1" allowOverlap="1">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rsidR="001D1343" w:rsidRDefault="001D1343">
    <w:pPr>
      <w:pStyle w:val="Zhlav"/>
    </w:pPr>
  </w:p>
  <w:p w:rsidR="001D1343" w:rsidRDefault="001D13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95D24078">
      <w:start w:val="1"/>
      <w:numFmt w:val="none"/>
      <w:pStyle w:val="F6-kol"/>
      <w:lvlText w:val="!! ÚKOL !!"/>
      <w:lvlJc w:val="left"/>
      <w:pPr>
        <w:tabs>
          <w:tab w:val="num" w:pos="0"/>
        </w:tabs>
        <w:ind w:left="0" w:firstLine="0"/>
      </w:pPr>
      <w:rPr>
        <w:rFonts w:hint="default"/>
        <w:b/>
        <w:i w:val="0"/>
        <w:color w:val="0000FF"/>
      </w:rPr>
    </w:lvl>
    <w:lvl w:ilvl="1" w:tplc="AAC245E0">
      <w:start w:val="1"/>
      <w:numFmt w:val="lowerLetter"/>
      <w:lvlText w:val="%2)"/>
      <w:lvlJc w:val="left"/>
      <w:pPr>
        <w:tabs>
          <w:tab w:val="num" w:pos="743"/>
        </w:tabs>
        <w:ind w:left="743" w:hanging="363"/>
      </w:pPr>
      <w:rPr>
        <w:rFonts w:hint="default"/>
        <w:b/>
        <w:i w:val="0"/>
        <w:color w:val="0000FF"/>
      </w:rPr>
    </w:lvl>
    <w:lvl w:ilvl="2" w:tplc="10CCAE90" w:tentative="1">
      <w:start w:val="1"/>
      <w:numFmt w:val="lowerRoman"/>
      <w:lvlText w:val="%3."/>
      <w:lvlJc w:val="right"/>
      <w:pPr>
        <w:tabs>
          <w:tab w:val="num" w:pos="2160"/>
        </w:tabs>
        <w:ind w:left="2160" w:hanging="180"/>
      </w:pPr>
    </w:lvl>
    <w:lvl w:ilvl="3" w:tplc="62F85FB4" w:tentative="1">
      <w:start w:val="1"/>
      <w:numFmt w:val="decimal"/>
      <w:lvlText w:val="%4."/>
      <w:lvlJc w:val="left"/>
      <w:pPr>
        <w:tabs>
          <w:tab w:val="num" w:pos="2880"/>
        </w:tabs>
        <w:ind w:left="2880" w:hanging="360"/>
      </w:pPr>
    </w:lvl>
    <w:lvl w:ilvl="4" w:tplc="DAA4769C" w:tentative="1">
      <w:start w:val="1"/>
      <w:numFmt w:val="lowerLetter"/>
      <w:lvlText w:val="%5."/>
      <w:lvlJc w:val="left"/>
      <w:pPr>
        <w:tabs>
          <w:tab w:val="num" w:pos="3600"/>
        </w:tabs>
        <w:ind w:left="3600" w:hanging="360"/>
      </w:pPr>
    </w:lvl>
    <w:lvl w:ilvl="5" w:tplc="DAFEDA5C" w:tentative="1">
      <w:start w:val="1"/>
      <w:numFmt w:val="lowerRoman"/>
      <w:lvlText w:val="%6."/>
      <w:lvlJc w:val="right"/>
      <w:pPr>
        <w:tabs>
          <w:tab w:val="num" w:pos="4320"/>
        </w:tabs>
        <w:ind w:left="4320" w:hanging="180"/>
      </w:pPr>
    </w:lvl>
    <w:lvl w:ilvl="6" w:tplc="A3824788" w:tentative="1">
      <w:start w:val="1"/>
      <w:numFmt w:val="decimal"/>
      <w:lvlText w:val="%7."/>
      <w:lvlJc w:val="left"/>
      <w:pPr>
        <w:tabs>
          <w:tab w:val="num" w:pos="5040"/>
        </w:tabs>
        <w:ind w:left="5040" w:hanging="360"/>
      </w:pPr>
    </w:lvl>
    <w:lvl w:ilvl="7" w:tplc="98300CF6" w:tentative="1">
      <w:start w:val="1"/>
      <w:numFmt w:val="lowerLetter"/>
      <w:lvlText w:val="%8."/>
      <w:lvlJc w:val="left"/>
      <w:pPr>
        <w:tabs>
          <w:tab w:val="num" w:pos="5760"/>
        </w:tabs>
        <w:ind w:left="5760" w:hanging="360"/>
      </w:pPr>
    </w:lvl>
    <w:lvl w:ilvl="8" w:tplc="92F2E5C6"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ED66FA8E">
      <w:start w:val="1"/>
      <w:numFmt w:val="none"/>
      <w:pStyle w:val="F7-chyba"/>
      <w:lvlText w:val="!! CHYBA !!"/>
      <w:lvlJc w:val="left"/>
      <w:pPr>
        <w:tabs>
          <w:tab w:val="num" w:pos="0"/>
        </w:tabs>
        <w:ind w:left="0" w:firstLine="0"/>
      </w:pPr>
      <w:rPr>
        <w:rFonts w:hint="default"/>
        <w:b/>
        <w:i w:val="0"/>
        <w:color w:val="FF0000"/>
      </w:rPr>
    </w:lvl>
    <w:lvl w:ilvl="1" w:tplc="B2841982">
      <w:start w:val="1"/>
      <w:numFmt w:val="lowerLetter"/>
      <w:lvlText w:val="%2."/>
      <w:lvlJc w:val="left"/>
      <w:pPr>
        <w:tabs>
          <w:tab w:val="num" w:pos="1440"/>
        </w:tabs>
        <w:ind w:left="1440" w:hanging="360"/>
      </w:pPr>
    </w:lvl>
    <w:lvl w:ilvl="2" w:tplc="FD92709C" w:tentative="1">
      <w:start w:val="1"/>
      <w:numFmt w:val="lowerRoman"/>
      <w:lvlText w:val="%3."/>
      <w:lvlJc w:val="right"/>
      <w:pPr>
        <w:tabs>
          <w:tab w:val="num" w:pos="2160"/>
        </w:tabs>
        <w:ind w:left="2160" w:hanging="180"/>
      </w:pPr>
    </w:lvl>
    <w:lvl w:ilvl="3" w:tplc="A2701BBA" w:tentative="1">
      <w:start w:val="1"/>
      <w:numFmt w:val="decimal"/>
      <w:lvlText w:val="%4."/>
      <w:lvlJc w:val="left"/>
      <w:pPr>
        <w:tabs>
          <w:tab w:val="num" w:pos="2880"/>
        </w:tabs>
        <w:ind w:left="2880" w:hanging="360"/>
      </w:pPr>
    </w:lvl>
    <w:lvl w:ilvl="4" w:tplc="F82683FE" w:tentative="1">
      <w:start w:val="1"/>
      <w:numFmt w:val="lowerLetter"/>
      <w:lvlText w:val="%5."/>
      <w:lvlJc w:val="left"/>
      <w:pPr>
        <w:tabs>
          <w:tab w:val="num" w:pos="3600"/>
        </w:tabs>
        <w:ind w:left="3600" w:hanging="360"/>
      </w:pPr>
    </w:lvl>
    <w:lvl w:ilvl="5" w:tplc="15C6AE84" w:tentative="1">
      <w:start w:val="1"/>
      <w:numFmt w:val="lowerRoman"/>
      <w:lvlText w:val="%6."/>
      <w:lvlJc w:val="right"/>
      <w:pPr>
        <w:tabs>
          <w:tab w:val="num" w:pos="4320"/>
        </w:tabs>
        <w:ind w:left="4320" w:hanging="180"/>
      </w:pPr>
    </w:lvl>
    <w:lvl w:ilvl="6" w:tplc="8E26BCE6" w:tentative="1">
      <w:start w:val="1"/>
      <w:numFmt w:val="decimal"/>
      <w:lvlText w:val="%7."/>
      <w:lvlJc w:val="left"/>
      <w:pPr>
        <w:tabs>
          <w:tab w:val="num" w:pos="5040"/>
        </w:tabs>
        <w:ind w:left="5040" w:hanging="360"/>
      </w:pPr>
    </w:lvl>
    <w:lvl w:ilvl="7" w:tplc="5AEA271E" w:tentative="1">
      <w:start w:val="1"/>
      <w:numFmt w:val="lowerLetter"/>
      <w:lvlText w:val="%8."/>
      <w:lvlJc w:val="left"/>
      <w:pPr>
        <w:tabs>
          <w:tab w:val="num" w:pos="5760"/>
        </w:tabs>
        <w:ind w:left="5760" w:hanging="360"/>
      </w:pPr>
    </w:lvl>
    <w:lvl w:ilvl="8" w:tplc="12CC8894"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3FB6"/>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2F5DDB"/>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3D2F"/>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86D3F"/>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57F3"/>
    <w:rsid w:val="00F0649C"/>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paragraph" w:customStyle="1" w:styleId="FIL1ptWhite">
    <w:name w:val="FIL_1pt_White"/>
    <w:basedOn w:val="Normln"/>
    <w:rsid w:val="00F057F3"/>
    <w:pPr>
      <w:spacing w:before="0" w:line="240" w:lineRule="auto"/>
      <w:jc w:val="left"/>
    </w:pPr>
    <w:rPr>
      <w:rFonts w:ascii="Segoe UI" w:hAnsi="Segoe UI" w:cs="Times New Roman"/>
      <w:b/>
      <w:noProof/>
      <w:color w:val="FFFFFF" w:themeColor="background1"/>
      <w:sz w:val="2"/>
      <w:szCs w:val="16"/>
      <w:lang w:val="en-GB" w:eastAsia="en-GB"/>
    </w:rPr>
  </w:style>
  <w:style w:type="table" w:customStyle="1" w:styleId="TableGrid2">
    <w:name w:val="Table Grid2"/>
    <w:basedOn w:val="Normlntabulka"/>
    <w:next w:val="Mkatabulky"/>
    <w:uiPriority w:val="59"/>
    <w:rsid w:val="00F057F3"/>
    <w:rPr>
      <w:rFonts w:ascii="Calibri" w:eastAsia="SimSun" w:hAnsi="Calibri"/>
      <w:sz w:val="22"/>
      <w:szCs w:val="22"/>
      <w:lang w:val="en-GB" w:eastAsia="en-GB"/>
    </w:rPr>
    <w:tblPr/>
  </w:style>
  <w:style w:type="table" w:customStyle="1" w:styleId="TableGrid21">
    <w:name w:val="Table Grid21"/>
    <w:basedOn w:val="Normlntabulka"/>
    <w:next w:val="Mkatabulky"/>
    <w:uiPriority w:val="59"/>
    <w:rsid w:val="00F057F3"/>
    <w:rPr>
      <w:rFonts w:ascii="Calibri" w:eastAsia="SimSun" w:hAnsi="Calibri"/>
      <w:sz w:val="22"/>
      <w:szCs w:val="22"/>
      <w:lang w:val="en-GB" w:eastAsia="en-GB"/>
    </w:rPr>
    <w:tblPr/>
  </w:style>
  <w:style w:type="table" w:customStyle="1" w:styleId="TableGrid22">
    <w:name w:val="Table Grid22"/>
    <w:basedOn w:val="Normlntabulka"/>
    <w:next w:val="Mkatabulky"/>
    <w:uiPriority w:val="59"/>
    <w:rsid w:val="00F057F3"/>
    <w:rPr>
      <w:rFonts w:ascii="Calibri" w:eastAsia="SimSun" w:hAnsi="Calibri"/>
      <w:sz w:val="22"/>
      <w:szCs w:val="22"/>
      <w:lang w:val="en-GB" w:eastAsia="en-GB"/>
    </w:rPr>
    <w:tblPr/>
  </w:style>
  <w:style w:type="table" w:customStyle="1" w:styleId="TableGrid23">
    <w:name w:val="Table Grid23"/>
    <w:basedOn w:val="Normlntabulka"/>
    <w:next w:val="Mkatabulky"/>
    <w:uiPriority w:val="59"/>
    <w:rsid w:val="00F057F3"/>
    <w:rPr>
      <w:rFonts w:ascii="Calibri" w:eastAsia="SimSun" w:hAnsi="Calibri"/>
      <w:sz w:val="22"/>
      <w:szCs w:val="22"/>
      <w:lang w:val="en-GB" w:eastAsia="en-GB"/>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mailto:marcela.stefcova@crestcom.cz"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UKLDNNAS902\RESTRICTED\FAIM\UK\Matthew%20Jennings\Income%20outlook\Copy%20of%20DY%20vs%20Bond%20Yield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UKLDNNAS902\RESTRICTED\FAIM\UK\Matthew%20Jennings\Income%20outlook\Copy%20of%20DY%20vs%20Bond%20Yield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1.xml"/><Relationship Id="rId4" Type="http://schemas.openxmlformats.org/officeDocument/2006/relationships/oleObject" Target="file:///C:\Users\a504775\AppData\Local\Microsoft\Windows\INetCache\IE\IGTV7U28\fiscalmonitordatabase-april2020-chapter-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UKLDNNAS902\Restricted\FAIM\Presentations\FF%20Fund%20Presentations\FF%20Global%20Demographics\2019\07.19\Back%20up\WPP2019_POP_F07_1_POPULATION_BY_AGE_BOTH_SEX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242226136988075E-2"/>
          <c:y val="3.3881740392207066E-2"/>
          <c:w val="0.94042023816790343"/>
          <c:h val="0.83075673885404766"/>
        </c:manualLayout>
      </c:layout>
      <c:barChart>
        <c:barDir val="col"/>
        <c:grouping val="clustered"/>
        <c:varyColors val="0"/>
        <c:ser>
          <c:idx val="0"/>
          <c:order val="0"/>
          <c:tx>
            <c:strRef>
              <c:f>Sheet1!$B$1</c:f>
              <c:strCache>
                <c:ptCount val="1"/>
                <c:pt idx="0">
                  <c:v>Euro STOXX</c:v>
                </c:pt>
              </c:strCache>
            </c:strRef>
          </c:tx>
          <c:spPr>
            <a:solidFill>
              <a:srgbClr val="0A4D80"/>
            </a:solidFill>
            <a:ln>
              <a:noFill/>
            </a:ln>
            <a:effectLst/>
            <a:extLst/>
          </c:spPr>
          <c:invertIfNegative val="0"/>
          <c:cat>
            <c:strRef>
              <c:f>Sheet1!$A$2:$A$6</c:f>
              <c:strCache>
                <c:ptCount val="5"/>
                <c:pt idx="0">
                  <c:v>Don't pay dividends</c:v>
                </c:pt>
                <c:pt idx="1">
                  <c:v>Cut to zero</c:v>
                </c:pt>
                <c:pt idx="2">
                  <c:v>Reduced</c:v>
                </c:pt>
                <c:pt idx="3">
                  <c:v>Flat</c:v>
                </c:pt>
                <c:pt idx="4">
                  <c:v>Increased</c:v>
                </c:pt>
              </c:strCache>
            </c:strRef>
          </c:cat>
          <c:val>
            <c:numRef>
              <c:f>Sheet1!$B$2:$B$6</c:f>
              <c:numCache>
                <c:formatCode>General</c:formatCode>
                <c:ptCount val="5"/>
                <c:pt idx="0">
                  <c:v>7</c:v>
                </c:pt>
                <c:pt idx="1">
                  <c:v>17.5</c:v>
                </c:pt>
                <c:pt idx="2">
                  <c:v>18.5</c:v>
                </c:pt>
                <c:pt idx="3">
                  <c:v>8.5</c:v>
                </c:pt>
                <c:pt idx="4">
                  <c:v>48.5</c:v>
                </c:pt>
              </c:numCache>
            </c:numRef>
          </c:val>
          <c:extLst xmlns:c16r2="http://schemas.microsoft.com/office/drawing/2015/06/chart">
            <c:ext xmlns:c16="http://schemas.microsoft.com/office/drawing/2014/chart" uri="{C3380CC4-5D6E-409C-BE32-E72D297353CC}">
              <c16:uniqueId val="{00000000-9EC5-4824-80E4-D5A71A6949ED}"/>
            </c:ext>
          </c:extLst>
        </c:ser>
        <c:ser>
          <c:idx val="1"/>
          <c:order val="1"/>
          <c:tx>
            <c:strRef>
              <c:f>Sheet1!$C$1</c:f>
              <c:strCache>
                <c:ptCount val="1"/>
                <c:pt idx="0">
                  <c:v>FTSE 100</c:v>
                </c:pt>
              </c:strCache>
            </c:strRef>
          </c:tx>
          <c:spPr>
            <a:solidFill>
              <a:srgbClr val="7EBCE1"/>
            </a:solidFill>
            <a:ln>
              <a:noFill/>
            </a:ln>
            <a:effectLst/>
            <a:extLst/>
          </c:spPr>
          <c:invertIfNegative val="0"/>
          <c:cat>
            <c:strRef>
              <c:f>Sheet1!$A$2:$A$6</c:f>
              <c:strCache>
                <c:ptCount val="5"/>
                <c:pt idx="0">
                  <c:v>Don't pay dividends</c:v>
                </c:pt>
                <c:pt idx="1">
                  <c:v>Cut to zero</c:v>
                </c:pt>
                <c:pt idx="2">
                  <c:v>Reduced</c:v>
                </c:pt>
                <c:pt idx="3">
                  <c:v>Flat</c:v>
                </c:pt>
                <c:pt idx="4">
                  <c:v>Increased</c:v>
                </c:pt>
              </c:strCache>
            </c:strRef>
          </c:cat>
          <c:val>
            <c:numRef>
              <c:f>Sheet1!$C$2:$C$6</c:f>
              <c:numCache>
                <c:formatCode>General</c:formatCode>
                <c:ptCount val="5"/>
                <c:pt idx="0">
                  <c:v>2.5</c:v>
                </c:pt>
                <c:pt idx="1">
                  <c:v>21.5</c:v>
                </c:pt>
                <c:pt idx="2">
                  <c:v>22.5</c:v>
                </c:pt>
                <c:pt idx="3">
                  <c:v>5</c:v>
                </c:pt>
                <c:pt idx="4">
                  <c:v>48</c:v>
                </c:pt>
              </c:numCache>
            </c:numRef>
          </c:val>
          <c:extLst xmlns:c16r2="http://schemas.microsoft.com/office/drawing/2015/06/chart">
            <c:ext xmlns:c16="http://schemas.microsoft.com/office/drawing/2014/chart" uri="{C3380CC4-5D6E-409C-BE32-E72D297353CC}">
              <c16:uniqueId val="{00000001-9EC5-4824-80E4-D5A71A6949ED}"/>
            </c:ext>
          </c:extLst>
        </c:ser>
        <c:ser>
          <c:idx val="2"/>
          <c:order val="2"/>
          <c:tx>
            <c:strRef>
              <c:f>Sheet1!$D$1</c:f>
              <c:strCache>
                <c:ptCount val="1"/>
                <c:pt idx="0">
                  <c:v>S&amp;P 500</c:v>
                </c:pt>
              </c:strCache>
            </c:strRef>
          </c:tx>
          <c:spPr>
            <a:solidFill>
              <a:schemeClr val="accent3"/>
            </a:solidFill>
            <a:ln>
              <a:noFill/>
            </a:ln>
            <a:effectLst/>
          </c:spPr>
          <c:invertIfNegative val="0"/>
          <c:cat>
            <c:strRef>
              <c:f>Sheet1!$A$2:$A$6</c:f>
              <c:strCache>
                <c:ptCount val="5"/>
                <c:pt idx="0">
                  <c:v>Don't pay dividends</c:v>
                </c:pt>
                <c:pt idx="1">
                  <c:v>Cut to zero</c:v>
                </c:pt>
                <c:pt idx="2">
                  <c:v>Reduced</c:v>
                </c:pt>
                <c:pt idx="3">
                  <c:v>Flat</c:v>
                </c:pt>
                <c:pt idx="4">
                  <c:v>Increased</c:v>
                </c:pt>
              </c:strCache>
            </c:strRef>
          </c:cat>
          <c:val>
            <c:numRef>
              <c:f>Sheet1!$D$2:$D$6</c:f>
              <c:numCache>
                <c:formatCode>General</c:formatCode>
                <c:ptCount val="5"/>
                <c:pt idx="0">
                  <c:v>15.5</c:v>
                </c:pt>
                <c:pt idx="2">
                  <c:v>10</c:v>
                </c:pt>
                <c:pt idx="3">
                  <c:v>10</c:v>
                </c:pt>
                <c:pt idx="4">
                  <c:v>64.5</c:v>
                </c:pt>
              </c:numCache>
            </c:numRef>
          </c:val>
          <c:extLst xmlns:c16r2="http://schemas.microsoft.com/office/drawing/2015/06/chart">
            <c:ext xmlns:c16="http://schemas.microsoft.com/office/drawing/2014/chart" uri="{C3380CC4-5D6E-409C-BE32-E72D297353CC}">
              <c16:uniqueId val="{00000002-9EC5-4824-80E4-D5A71A6949ED}"/>
            </c:ext>
          </c:extLst>
        </c:ser>
        <c:ser>
          <c:idx val="3"/>
          <c:order val="3"/>
          <c:tx>
            <c:strRef>
              <c:f>Sheet1!$E$1</c:f>
              <c:strCache>
                <c:ptCount val="1"/>
                <c:pt idx="0">
                  <c:v>Topix 500</c:v>
                </c:pt>
              </c:strCache>
            </c:strRef>
          </c:tx>
          <c:spPr>
            <a:solidFill>
              <a:schemeClr val="accent4"/>
            </a:solidFill>
            <a:ln>
              <a:noFill/>
            </a:ln>
            <a:effectLst/>
          </c:spPr>
          <c:invertIfNegative val="0"/>
          <c:cat>
            <c:strRef>
              <c:f>Sheet1!$A$2:$A$6</c:f>
              <c:strCache>
                <c:ptCount val="5"/>
                <c:pt idx="0">
                  <c:v>Don't pay dividends</c:v>
                </c:pt>
                <c:pt idx="1">
                  <c:v>Cut to zero</c:v>
                </c:pt>
                <c:pt idx="2">
                  <c:v>Reduced</c:v>
                </c:pt>
                <c:pt idx="3">
                  <c:v>Flat</c:v>
                </c:pt>
                <c:pt idx="4">
                  <c:v>Increased</c:v>
                </c:pt>
              </c:strCache>
            </c:strRef>
          </c:cat>
          <c:val>
            <c:numRef>
              <c:f>Sheet1!$E$2:$E$6</c:f>
              <c:numCache>
                <c:formatCode>General</c:formatCode>
                <c:ptCount val="5"/>
                <c:pt idx="0">
                  <c:v>1</c:v>
                </c:pt>
                <c:pt idx="1">
                  <c:v>1.5</c:v>
                </c:pt>
                <c:pt idx="2">
                  <c:v>27</c:v>
                </c:pt>
                <c:pt idx="3">
                  <c:v>30</c:v>
                </c:pt>
                <c:pt idx="4">
                  <c:v>40</c:v>
                </c:pt>
              </c:numCache>
            </c:numRef>
          </c:val>
          <c:extLst xmlns:c16r2="http://schemas.microsoft.com/office/drawing/2015/06/chart">
            <c:ext xmlns:c16="http://schemas.microsoft.com/office/drawing/2014/chart" uri="{C3380CC4-5D6E-409C-BE32-E72D297353CC}">
              <c16:uniqueId val="{00000003-9EC5-4824-80E4-D5A71A6949ED}"/>
            </c:ext>
          </c:extLst>
        </c:ser>
        <c:dLbls>
          <c:showLegendKey val="0"/>
          <c:showVal val="0"/>
          <c:showCatName val="0"/>
          <c:showSerName val="0"/>
          <c:showPercent val="0"/>
          <c:showBubbleSize val="0"/>
        </c:dLbls>
        <c:gapWidth val="110"/>
        <c:overlap val="-8"/>
        <c:axId val="300101448"/>
        <c:axId val="300111640"/>
      </c:barChart>
      <c:catAx>
        <c:axId val="300101448"/>
        <c:scaling>
          <c:orientation val="minMax"/>
        </c:scaling>
        <c:delete val="0"/>
        <c:axPos val="b"/>
        <c:numFmt formatCode="General" sourceLinked="1"/>
        <c:majorTickMark val="out"/>
        <c:minorTickMark val="none"/>
        <c:tickLblPos val="low"/>
        <c:spPr>
          <a:noFill/>
          <a:ln w="9525" cap="flat" cmpd="sng" algn="ctr">
            <a:solidFill>
              <a:srgbClr val="868686"/>
            </a:solidFill>
            <a:round/>
          </a:ln>
          <a:effectLst/>
        </c:spPr>
        <c:txPr>
          <a:bodyPr rot="-60000000" spcFirstLastPara="1" vertOverflow="ellipsis" vert="horz" wrap="square" anchor="ctr" anchorCtr="1"/>
          <a:lstStyle/>
          <a:p>
            <a:pPr>
              <a:defRPr sz="800" b="0" i="0" u="none" strike="noStrike" kern="1200" baseline="0">
                <a:solidFill>
                  <a:srgbClr val="415464"/>
                </a:solidFill>
                <a:latin typeface="Arial"/>
                <a:ea typeface="Arial"/>
                <a:cs typeface="Arial"/>
              </a:defRPr>
            </a:pPr>
            <a:endParaRPr lang="cs-CZ"/>
          </a:p>
        </c:txPr>
        <c:crossAx val="300111640"/>
        <c:crosses val="autoZero"/>
        <c:auto val="1"/>
        <c:lblAlgn val="ctr"/>
        <c:lblOffset val="100"/>
        <c:noMultiLvlLbl val="0"/>
      </c:catAx>
      <c:valAx>
        <c:axId val="300111640"/>
        <c:scaling>
          <c:orientation val="minMax"/>
        </c:scaling>
        <c:delete val="0"/>
        <c:axPos val="l"/>
        <c:numFmt formatCode="0&quot;%&quot;" sourceLinked="0"/>
        <c:majorTickMark val="out"/>
        <c:minorTickMark val="none"/>
        <c:tickLblPos val="nextTo"/>
        <c:spPr>
          <a:noFill/>
          <a:ln>
            <a:solidFill>
              <a:srgbClr val="868686"/>
            </a:solidFill>
          </a:ln>
          <a:effectLst/>
        </c:spPr>
        <c:txPr>
          <a:bodyPr rot="-60000000" spcFirstLastPara="1" vertOverflow="ellipsis" vert="horz" wrap="square" anchor="ctr" anchorCtr="1"/>
          <a:lstStyle/>
          <a:p>
            <a:pPr>
              <a:defRPr sz="800" b="0" i="0" u="none" strike="noStrike" kern="1200" baseline="0">
                <a:solidFill>
                  <a:srgbClr val="415464"/>
                </a:solidFill>
                <a:latin typeface="Arial"/>
                <a:ea typeface="Arial"/>
                <a:cs typeface="Arial"/>
              </a:defRPr>
            </a:pPr>
            <a:endParaRPr lang="cs-CZ"/>
          </a:p>
        </c:txPr>
        <c:crossAx val="300101448"/>
        <c:crosses val="autoZero"/>
        <c:crossBetween val="between"/>
      </c:valAx>
      <c:spPr>
        <a:noFill/>
        <a:ln>
          <a:noFill/>
        </a:ln>
        <a:effectLst/>
        <a:extLst/>
      </c:spPr>
    </c:plotArea>
    <c:legend>
      <c:legendPos val="b"/>
      <c:layout>
        <c:manualLayout>
          <c:xMode val="edge"/>
          <c:yMode val="edge"/>
          <c:x val="0.26140337109024164"/>
          <c:y val="0.24598126048355212"/>
          <c:w val="0.45135331920719213"/>
          <c:h val="8.6447504781033982E-2"/>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415464"/>
              </a:solidFill>
              <a:latin typeface="Arial"/>
              <a:ea typeface="Arial"/>
              <a:cs typeface="Arial"/>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txPr>
    <a:bodyPr/>
    <a:lstStyle/>
    <a:p>
      <a:pPr>
        <a:defRPr sz="800" b="0">
          <a:solidFill>
            <a:srgbClr val="415464"/>
          </a:solidFill>
          <a:latin typeface="Arial"/>
          <a:ea typeface="Arial"/>
          <a:cs typeface="Arial"/>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751084320074559"/>
          <c:y val="3.9011511883299127E-2"/>
          <c:w val="0.69331784020168941"/>
          <c:h val="0.71965612916437471"/>
        </c:manualLayout>
      </c:layout>
      <c:barChart>
        <c:barDir val="bar"/>
        <c:grouping val="clustered"/>
        <c:varyColors val="0"/>
        <c:ser>
          <c:idx val="0"/>
          <c:order val="0"/>
          <c:tx>
            <c:strRef>
              <c:f>Sheet1!$B$1</c:f>
              <c:strCache>
                <c:ptCount val="1"/>
                <c:pt idx="0">
                  <c:v>Stoxx 600 dividends cuts YTD</c:v>
                </c:pt>
              </c:strCache>
            </c:strRef>
          </c:tx>
          <c:spPr>
            <a:solidFill>
              <a:srgbClr val="0A4D80"/>
            </a:solidFill>
            <a:ln>
              <a:noFill/>
            </a:ln>
            <a:effectLst/>
            <a:extLst/>
          </c:spPr>
          <c:invertIfNegative val="0"/>
          <c:cat>
            <c:strRef>
              <c:f>Sheet1!$A$2:$A$12</c:f>
              <c:strCache>
                <c:ptCount val="11"/>
                <c:pt idx="0">
                  <c:v>Financials</c:v>
                </c:pt>
                <c:pt idx="1">
                  <c:v>Industrials</c:v>
                </c:pt>
                <c:pt idx="2">
                  <c:v>Discretionary</c:v>
                </c:pt>
                <c:pt idx="3">
                  <c:v>Materials</c:v>
                </c:pt>
                <c:pt idx="4">
                  <c:v>Comms.</c:v>
                </c:pt>
                <c:pt idx="5">
                  <c:v>IT</c:v>
                </c:pt>
                <c:pt idx="6">
                  <c:v>Real Estate</c:v>
                </c:pt>
                <c:pt idx="7">
                  <c:v>Utilities</c:v>
                </c:pt>
                <c:pt idx="8">
                  <c:v>Healthcare</c:v>
                </c:pt>
                <c:pt idx="9">
                  <c:v>Staples</c:v>
                </c:pt>
                <c:pt idx="10">
                  <c:v>Energy</c:v>
                </c:pt>
              </c:strCache>
            </c:strRef>
          </c:cat>
          <c:val>
            <c:numRef>
              <c:f>Sheet1!$B$2:$B$12</c:f>
              <c:numCache>
                <c:formatCode>General</c:formatCode>
                <c:ptCount val="11"/>
                <c:pt idx="0">
                  <c:v>37</c:v>
                </c:pt>
                <c:pt idx="1">
                  <c:v>40</c:v>
                </c:pt>
                <c:pt idx="2">
                  <c:v>24</c:v>
                </c:pt>
                <c:pt idx="3">
                  <c:v>4</c:v>
                </c:pt>
                <c:pt idx="4">
                  <c:v>5</c:v>
                </c:pt>
                <c:pt idx="5">
                  <c:v>5</c:v>
                </c:pt>
                <c:pt idx="6">
                  <c:v>6</c:v>
                </c:pt>
                <c:pt idx="7">
                  <c:v>3</c:v>
                </c:pt>
                <c:pt idx="8">
                  <c:v>1</c:v>
                </c:pt>
                <c:pt idx="9">
                  <c:v>3</c:v>
                </c:pt>
                <c:pt idx="10">
                  <c:v>2</c:v>
                </c:pt>
              </c:numCache>
            </c:numRef>
          </c:val>
          <c:extLst xmlns:c16r2="http://schemas.microsoft.com/office/drawing/2015/06/chart">
            <c:ext xmlns:c16="http://schemas.microsoft.com/office/drawing/2014/chart" uri="{C3380CC4-5D6E-409C-BE32-E72D297353CC}">
              <c16:uniqueId val="{00000000-DC7E-482E-9840-F673AA747E5F}"/>
            </c:ext>
          </c:extLst>
        </c:ser>
        <c:dLbls>
          <c:showLegendKey val="0"/>
          <c:showVal val="0"/>
          <c:showCatName val="0"/>
          <c:showSerName val="0"/>
          <c:showPercent val="0"/>
          <c:showBubbleSize val="0"/>
        </c:dLbls>
        <c:gapWidth val="110"/>
        <c:axId val="300112424"/>
        <c:axId val="300115168"/>
      </c:barChart>
      <c:catAx>
        <c:axId val="300112424"/>
        <c:scaling>
          <c:orientation val="maxMin"/>
        </c:scaling>
        <c:delete val="0"/>
        <c:axPos val="l"/>
        <c:numFmt formatCode="General" sourceLinked="1"/>
        <c:majorTickMark val="out"/>
        <c:minorTickMark val="none"/>
        <c:tickLblPos val="low"/>
        <c:spPr>
          <a:noFill/>
          <a:ln w="9525" cap="flat" cmpd="sng" algn="ctr">
            <a:solidFill>
              <a:srgbClr val="868686"/>
            </a:solidFill>
            <a:round/>
          </a:ln>
          <a:effectLst/>
        </c:spPr>
        <c:txPr>
          <a:bodyPr rot="-60000000" spcFirstLastPara="1" vertOverflow="ellipsis" vert="horz" wrap="square" anchor="ctr" anchorCtr="1"/>
          <a:lstStyle/>
          <a:p>
            <a:pPr>
              <a:defRPr sz="800" b="0" i="0" u="none" strike="noStrike" kern="1200" baseline="0">
                <a:solidFill>
                  <a:srgbClr val="415464"/>
                </a:solidFill>
                <a:latin typeface="Arial"/>
                <a:ea typeface="Arial"/>
                <a:cs typeface="Arial"/>
              </a:defRPr>
            </a:pPr>
            <a:endParaRPr lang="cs-CZ"/>
          </a:p>
        </c:txPr>
        <c:crossAx val="300115168"/>
        <c:crosses val="autoZero"/>
        <c:auto val="1"/>
        <c:lblAlgn val="ctr"/>
        <c:lblOffset val="10"/>
        <c:noMultiLvlLbl val="0"/>
      </c:catAx>
      <c:valAx>
        <c:axId val="300115168"/>
        <c:scaling>
          <c:orientation val="minMax"/>
          <c:max val="43"/>
          <c:min val="0"/>
        </c:scaling>
        <c:delete val="0"/>
        <c:axPos val="b"/>
        <c:numFmt formatCode="0&quot;%&quot;" sourceLinked="0"/>
        <c:majorTickMark val="out"/>
        <c:minorTickMark val="none"/>
        <c:tickLblPos val="nextTo"/>
        <c:spPr>
          <a:noFill/>
          <a:ln>
            <a:solidFill>
              <a:srgbClr val="868686"/>
            </a:solidFill>
          </a:ln>
          <a:effectLst/>
        </c:spPr>
        <c:txPr>
          <a:bodyPr rot="-60000000" spcFirstLastPara="1" vertOverflow="ellipsis" vert="horz" wrap="square" anchor="ctr" anchorCtr="1"/>
          <a:lstStyle/>
          <a:p>
            <a:pPr>
              <a:defRPr sz="800" b="0" i="0" u="none" strike="noStrike" kern="1200" baseline="0">
                <a:solidFill>
                  <a:srgbClr val="415464"/>
                </a:solidFill>
                <a:latin typeface="Arial"/>
                <a:ea typeface="Arial"/>
                <a:cs typeface="Arial"/>
              </a:defRPr>
            </a:pPr>
            <a:endParaRPr lang="cs-CZ"/>
          </a:p>
        </c:txPr>
        <c:crossAx val="300112424"/>
        <c:crosses val="max"/>
        <c:crossBetween val="between"/>
        <c:majorUnit val="10"/>
      </c:valAx>
      <c:spPr>
        <a:noFill/>
        <a:ln>
          <a:noFill/>
        </a:ln>
        <a:effectLst/>
        <a:extLst/>
      </c:spPr>
    </c:plotArea>
    <c:legend>
      <c:legendPos val="b"/>
      <c:layout>
        <c:manualLayout>
          <c:xMode val="edge"/>
          <c:yMode val="edge"/>
          <c:x val="0.16768027564579444"/>
          <c:y val="0.8501138092580921"/>
          <c:w val="0.76871686117821447"/>
          <c:h val="0.10909952188068293"/>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415464"/>
              </a:solidFill>
              <a:latin typeface="Arial"/>
              <a:ea typeface="Arial"/>
              <a:cs typeface="Arial"/>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txPr>
    <a:bodyPr/>
    <a:lstStyle/>
    <a:p>
      <a:pPr>
        <a:defRPr sz="800" b="0">
          <a:solidFill>
            <a:srgbClr val="415464"/>
          </a:solidFill>
          <a:latin typeface="Arial"/>
          <a:ea typeface="Arial"/>
          <a:cs typeface="Arial"/>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242226136988075E-2"/>
          <c:y val="4.5184162406239507E-2"/>
          <c:w val="0.87388043205524957"/>
          <c:h val="0.71778681693224355"/>
        </c:manualLayout>
      </c:layout>
      <c:barChart>
        <c:barDir val="col"/>
        <c:grouping val="clustered"/>
        <c:varyColors val="0"/>
        <c:ser>
          <c:idx val="0"/>
          <c:order val="0"/>
          <c:tx>
            <c:strRef>
              <c:f>Sheet1!$B$1</c:f>
              <c:strCache>
                <c:ptCount val="1"/>
                <c:pt idx="0">
                  <c:v>%</c:v>
                </c:pt>
              </c:strCache>
            </c:strRef>
          </c:tx>
          <c:spPr>
            <a:solidFill>
              <a:srgbClr val="0A4D80"/>
            </a:solidFill>
            <a:ln>
              <a:noFill/>
            </a:ln>
            <a:effectLst/>
            <a:extLst/>
          </c:spPr>
          <c:invertIfNegative val="0"/>
          <c:cat>
            <c:strRef>
              <c:f>Sheet1!$A$2:$A$6</c:f>
              <c:strCache>
                <c:ptCount val="5"/>
                <c:pt idx="0">
                  <c:v>Bottom
Quintile</c:v>
                </c:pt>
                <c:pt idx="1">
                  <c:v>2</c:v>
                </c:pt>
                <c:pt idx="2">
                  <c:v>3</c:v>
                </c:pt>
                <c:pt idx="3">
                  <c:v>4</c:v>
                </c:pt>
                <c:pt idx="4">
                  <c:v>Top
Quintile</c:v>
                </c:pt>
              </c:strCache>
            </c:strRef>
          </c:cat>
          <c:val>
            <c:numRef>
              <c:f>Sheet1!$B$2:$B$6</c:f>
              <c:numCache>
                <c:formatCode>General</c:formatCode>
                <c:ptCount val="5"/>
                <c:pt idx="0">
                  <c:v>-12.5</c:v>
                </c:pt>
                <c:pt idx="1">
                  <c:v>-8.5</c:v>
                </c:pt>
                <c:pt idx="2">
                  <c:v>2.5</c:v>
                </c:pt>
                <c:pt idx="3">
                  <c:v>6</c:v>
                </c:pt>
                <c:pt idx="4">
                  <c:v>7</c:v>
                </c:pt>
              </c:numCache>
            </c:numRef>
          </c:val>
          <c:extLst xmlns:c16r2="http://schemas.microsoft.com/office/drawing/2015/06/chart">
            <c:ext xmlns:c16="http://schemas.microsoft.com/office/drawing/2014/chart" uri="{C3380CC4-5D6E-409C-BE32-E72D297353CC}">
              <c16:uniqueId val="{00000000-4631-4B42-BB3D-EF0349BB8E8B}"/>
            </c:ext>
          </c:extLst>
        </c:ser>
        <c:dLbls>
          <c:showLegendKey val="0"/>
          <c:showVal val="0"/>
          <c:showCatName val="0"/>
          <c:showSerName val="0"/>
          <c:showPercent val="0"/>
          <c:showBubbleSize val="0"/>
        </c:dLbls>
        <c:gapWidth val="110"/>
        <c:overlap val="-8"/>
        <c:axId val="300113208"/>
        <c:axId val="300112816"/>
      </c:barChart>
      <c:catAx>
        <c:axId val="300113208"/>
        <c:scaling>
          <c:orientation val="minMax"/>
        </c:scaling>
        <c:delete val="0"/>
        <c:axPos val="b"/>
        <c:numFmt formatCode="General" sourceLinked="1"/>
        <c:majorTickMark val="out"/>
        <c:minorTickMark val="none"/>
        <c:tickLblPos val="low"/>
        <c:spPr>
          <a:noFill/>
          <a:ln w="9525" cap="flat" cmpd="sng" algn="ctr">
            <a:solidFill>
              <a:srgbClr val="868686"/>
            </a:solidFill>
            <a:round/>
          </a:ln>
          <a:effectLst/>
        </c:spPr>
        <c:txPr>
          <a:bodyPr rot="0" spcFirstLastPara="1" vertOverflow="ellipsis" wrap="square" anchor="ctr" anchorCtr="1"/>
          <a:lstStyle/>
          <a:p>
            <a:pPr>
              <a:defRPr sz="800" b="0" i="0" u="none" strike="noStrike" kern="1200" baseline="0">
                <a:solidFill>
                  <a:srgbClr val="415464"/>
                </a:solidFill>
                <a:latin typeface="Arial"/>
                <a:ea typeface="Arial"/>
                <a:cs typeface="Arial"/>
              </a:defRPr>
            </a:pPr>
            <a:endParaRPr lang="cs-CZ"/>
          </a:p>
        </c:txPr>
        <c:crossAx val="300112816"/>
        <c:crosses val="autoZero"/>
        <c:auto val="1"/>
        <c:lblAlgn val="ctr"/>
        <c:lblOffset val="100"/>
        <c:tickLblSkip val="1"/>
        <c:noMultiLvlLbl val="0"/>
      </c:catAx>
      <c:valAx>
        <c:axId val="300112816"/>
        <c:scaling>
          <c:orientation val="minMax"/>
        </c:scaling>
        <c:delete val="0"/>
        <c:axPos val="l"/>
        <c:numFmt formatCode="0&quot;%&quot;" sourceLinked="0"/>
        <c:majorTickMark val="out"/>
        <c:minorTickMark val="none"/>
        <c:tickLblPos val="nextTo"/>
        <c:spPr>
          <a:noFill/>
          <a:ln>
            <a:solidFill>
              <a:srgbClr val="868686"/>
            </a:solidFill>
          </a:ln>
          <a:effectLst/>
        </c:spPr>
        <c:txPr>
          <a:bodyPr rot="-60000000" spcFirstLastPara="1" vertOverflow="ellipsis" vert="horz" wrap="square" anchor="ctr" anchorCtr="1"/>
          <a:lstStyle/>
          <a:p>
            <a:pPr>
              <a:defRPr sz="800" b="0" i="0" u="none" strike="noStrike" kern="1200" baseline="0">
                <a:solidFill>
                  <a:srgbClr val="415464"/>
                </a:solidFill>
                <a:latin typeface="Arial"/>
                <a:ea typeface="Arial"/>
                <a:cs typeface="Arial"/>
              </a:defRPr>
            </a:pPr>
            <a:endParaRPr lang="cs-CZ"/>
          </a:p>
        </c:txPr>
        <c:crossAx val="300113208"/>
        <c:crosses val="autoZero"/>
        <c:crossBetween val="between"/>
      </c:valAx>
      <c:spPr>
        <a:noFill/>
        <a:ln>
          <a:noFill/>
        </a:ln>
        <a:effectLst/>
        <a:ex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txPr>
    <a:bodyPr/>
    <a:lstStyle/>
    <a:p>
      <a:pPr>
        <a:defRPr sz="800" b="0">
          <a:solidFill>
            <a:srgbClr val="415464"/>
          </a:solidFill>
          <a:latin typeface="Arial"/>
          <a:ea typeface="Arial"/>
          <a:cs typeface="Arial"/>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755167760287035E-2"/>
          <c:y val="4.0155287034144359E-2"/>
          <c:w val="0.91100209700358792"/>
          <c:h val="0.74194168741119038"/>
        </c:manualLayout>
      </c:layout>
      <c:lineChart>
        <c:grouping val="standard"/>
        <c:varyColors val="0"/>
        <c:ser>
          <c:idx val="0"/>
          <c:order val="0"/>
          <c:tx>
            <c:strRef>
              <c:f>'backup (2)'!$B$4</c:f>
              <c:strCache>
                <c:ptCount val="1"/>
                <c:pt idx="0">
                  <c:v>FTSE World Government Bond Index - Redemption Yield</c:v>
                </c:pt>
              </c:strCache>
            </c:strRef>
          </c:tx>
          <c:spPr>
            <a:ln w="28575" cap="rnd">
              <a:solidFill>
                <a:schemeClr val="accent1"/>
              </a:solidFill>
              <a:round/>
            </a:ln>
            <a:effectLst/>
          </c:spPr>
          <c:marker>
            <c:symbol val="none"/>
          </c:marker>
          <c:cat>
            <c:numRef>
              <c:f>'backup (2)'!$A$5:$A$125</c:f>
              <c:numCache>
                <c:formatCode>m/d/yyyy</c:formatCode>
                <c:ptCount val="121"/>
                <c:pt idx="0">
                  <c:v>40329</c:v>
                </c:pt>
                <c:pt idx="1">
                  <c:v>40359</c:v>
                </c:pt>
                <c:pt idx="2">
                  <c:v>40389</c:v>
                </c:pt>
                <c:pt idx="3">
                  <c:v>40421</c:v>
                </c:pt>
                <c:pt idx="4">
                  <c:v>40451</c:v>
                </c:pt>
                <c:pt idx="5">
                  <c:v>40480</c:v>
                </c:pt>
                <c:pt idx="6">
                  <c:v>40512</c:v>
                </c:pt>
                <c:pt idx="7">
                  <c:v>40543</c:v>
                </c:pt>
                <c:pt idx="8">
                  <c:v>40574</c:v>
                </c:pt>
                <c:pt idx="9">
                  <c:v>40602</c:v>
                </c:pt>
                <c:pt idx="10">
                  <c:v>40633</c:v>
                </c:pt>
                <c:pt idx="11">
                  <c:v>40662</c:v>
                </c:pt>
                <c:pt idx="12">
                  <c:v>40694</c:v>
                </c:pt>
                <c:pt idx="13">
                  <c:v>40724</c:v>
                </c:pt>
                <c:pt idx="14">
                  <c:v>40753</c:v>
                </c:pt>
                <c:pt idx="15">
                  <c:v>40786</c:v>
                </c:pt>
                <c:pt idx="16">
                  <c:v>40816</c:v>
                </c:pt>
                <c:pt idx="17">
                  <c:v>40847</c:v>
                </c:pt>
                <c:pt idx="18">
                  <c:v>40877</c:v>
                </c:pt>
                <c:pt idx="19">
                  <c:v>40907</c:v>
                </c:pt>
                <c:pt idx="20">
                  <c:v>40939</c:v>
                </c:pt>
                <c:pt idx="21">
                  <c:v>40968</c:v>
                </c:pt>
                <c:pt idx="22">
                  <c:v>40998</c:v>
                </c:pt>
                <c:pt idx="23">
                  <c:v>41029</c:v>
                </c:pt>
                <c:pt idx="24">
                  <c:v>41060</c:v>
                </c:pt>
                <c:pt idx="25">
                  <c:v>41089</c:v>
                </c:pt>
                <c:pt idx="26">
                  <c:v>41121</c:v>
                </c:pt>
                <c:pt idx="27">
                  <c:v>41152</c:v>
                </c:pt>
                <c:pt idx="28">
                  <c:v>41180</c:v>
                </c:pt>
                <c:pt idx="29">
                  <c:v>41213</c:v>
                </c:pt>
                <c:pt idx="30">
                  <c:v>41243</c:v>
                </c:pt>
                <c:pt idx="31">
                  <c:v>41274</c:v>
                </c:pt>
                <c:pt idx="32">
                  <c:v>41305</c:v>
                </c:pt>
                <c:pt idx="33">
                  <c:v>41333</c:v>
                </c:pt>
                <c:pt idx="34">
                  <c:v>41362</c:v>
                </c:pt>
                <c:pt idx="35">
                  <c:v>41394</c:v>
                </c:pt>
                <c:pt idx="36">
                  <c:v>41425</c:v>
                </c:pt>
                <c:pt idx="37">
                  <c:v>41453</c:v>
                </c:pt>
                <c:pt idx="38">
                  <c:v>41486</c:v>
                </c:pt>
                <c:pt idx="39">
                  <c:v>41516</c:v>
                </c:pt>
                <c:pt idx="40">
                  <c:v>41547</c:v>
                </c:pt>
                <c:pt idx="41">
                  <c:v>41578</c:v>
                </c:pt>
                <c:pt idx="42">
                  <c:v>41607</c:v>
                </c:pt>
                <c:pt idx="43">
                  <c:v>41639</c:v>
                </c:pt>
                <c:pt idx="44">
                  <c:v>41670</c:v>
                </c:pt>
                <c:pt idx="45">
                  <c:v>41698</c:v>
                </c:pt>
                <c:pt idx="46">
                  <c:v>41729</c:v>
                </c:pt>
                <c:pt idx="47">
                  <c:v>41759</c:v>
                </c:pt>
                <c:pt idx="48">
                  <c:v>41789</c:v>
                </c:pt>
                <c:pt idx="49">
                  <c:v>41820</c:v>
                </c:pt>
                <c:pt idx="50">
                  <c:v>41851</c:v>
                </c:pt>
                <c:pt idx="51">
                  <c:v>41880</c:v>
                </c:pt>
                <c:pt idx="52">
                  <c:v>41912</c:v>
                </c:pt>
                <c:pt idx="53">
                  <c:v>41943</c:v>
                </c:pt>
                <c:pt idx="54">
                  <c:v>41971</c:v>
                </c:pt>
                <c:pt idx="55">
                  <c:v>42004</c:v>
                </c:pt>
                <c:pt idx="56">
                  <c:v>42034</c:v>
                </c:pt>
                <c:pt idx="57">
                  <c:v>42062</c:v>
                </c:pt>
                <c:pt idx="58">
                  <c:v>42094</c:v>
                </c:pt>
                <c:pt idx="59">
                  <c:v>42124</c:v>
                </c:pt>
                <c:pt idx="60">
                  <c:v>42153</c:v>
                </c:pt>
                <c:pt idx="61">
                  <c:v>42185</c:v>
                </c:pt>
                <c:pt idx="62">
                  <c:v>42216</c:v>
                </c:pt>
                <c:pt idx="63">
                  <c:v>42247</c:v>
                </c:pt>
                <c:pt idx="64">
                  <c:v>42277</c:v>
                </c:pt>
                <c:pt idx="65">
                  <c:v>42307</c:v>
                </c:pt>
                <c:pt idx="66">
                  <c:v>42338</c:v>
                </c:pt>
                <c:pt idx="67">
                  <c:v>42369</c:v>
                </c:pt>
                <c:pt idx="68">
                  <c:v>42398</c:v>
                </c:pt>
                <c:pt idx="69">
                  <c:v>42429</c:v>
                </c:pt>
                <c:pt idx="70">
                  <c:v>42460</c:v>
                </c:pt>
                <c:pt idx="71">
                  <c:v>42489</c:v>
                </c:pt>
                <c:pt idx="72">
                  <c:v>42521</c:v>
                </c:pt>
                <c:pt idx="73">
                  <c:v>42551</c:v>
                </c:pt>
                <c:pt idx="74">
                  <c:v>42580</c:v>
                </c:pt>
                <c:pt idx="75">
                  <c:v>42613</c:v>
                </c:pt>
                <c:pt idx="76">
                  <c:v>42643</c:v>
                </c:pt>
                <c:pt idx="77">
                  <c:v>42674</c:v>
                </c:pt>
                <c:pt idx="78">
                  <c:v>42704</c:v>
                </c:pt>
                <c:pt idx="79">
                  <c:v>42734</c:v>
                </c:pt>
                <c:pt idx="80">
                  <c:v>42766</c:v>
                </c:pt>
                <c:pt idx="81">
                  <c:v>42794</c:v>
                </c:pt>
                <c:pt idx="82">
                  <c:v>42825</c:v>
                </c:pt>
                <c:pt idx="83">
                  <c:v>42853</c:v>
                </c:pt>
                <c:pt idx="84">
                  <c:v>42886</c:v>
                </c:pt>
                <c:pt idx="85">
                  <c:v>42916</c:v>
                </c:pt>
                <c:pt idx="86">
                  <c:v>42947</c:v>
                </c:pt>
                <c:pt idx="87">
                  <c:v>42978</c:v>
                </c:pt>
                <c:pt idx="88">
                  <c:v>43007</c:v>
                </c:pt>
                <c:pt idx="89">
                  <c:v>43039</c:v>
                </c:pt>
                <c:pt idx="90">
                  <c:v>43069</c:v>
                </c:pt>
                <c:pt idx="91">
                  <c:v>43098</c:v>
                </c:pt>
                <c:pt idx="92">
                  <c:v>43131</c:v>
                </c:pt>
                <c:pt idx="93">
                  <c:v>43159</c:v>
                </c:pt>
                <c:pt idx="94">
                  <c:v>43189</c:v>
                </c:pt>
                <c:pt idx="95">
                  <c:v>43220</c:v>
                </c:pt>
                <c:pt idx="96">
                  <c:v>43251</c:v>
                </c:pt>
                <c:pt idx="97">
                  <c:v>43280</c:v>
                </c:pt>
                <c:pt idx="98">
                  <c:v>43312</c:v>
                </c:pt>
                <c:pt idx="99">
                  <c:v>43343</c:v>
                </c:pt>
                <c:pt idx="100">
                  <c:v>43371</c:v>
                </c:pt>
                <c:pt idx="101">
                  <c:v>43404</c:v>
                </c:pt>
                <c:pt idx="102">
                  <c:v>43434</c:v>
                </c:pt>
                <c:pt idx="103">
                  <c:v>43465</c:v>
                </c:pt>
                <c:pt idx="104">
                  <c:v>43496</c:v>
                </c:pt>
                <c:pt idx="105">
                  <c:v>43524</c:v>
                </c:pt>
                <c:pt idx="106">
                  <c:v>43553</c:v>
                </c:pt>
                <c:pt idx="107">
                  <c:v>43585</c:v>
                </c:pt>
                <c:pt idx="108">
                  <c:v>43616</c:v>
                </c:pt>
                <c:pt idx="109">
                  <c:v>43644</c:v>
                </c:pt>
                <c:pt idx="110">
                  <c:v>43677</c:v>
                </c:pt>
                <c:pt idx="111">
                  <c:v>43707</c:v>
                </c:pt>
                <c:pt idx="112">
                  <c:v>43738</c:v>
                </c:pt>
                <c:pt idx="113">
                  <c:v>43769</c:v>
                </c:pt>
                <c:pt idx="114">
                  <c:v>43798</c:v>
                </c:pt>
                <c:pt idx="115">
                  <c:v>43830</c:v>
                </c:pt>
                <c:pt idx="116">
                  <c:v>43861</c:v>
                </c:pt>
                <c:pt idx="117">
                  <c:v>43889</c:v>
                </c:pt>
                <c:pt idx="118">
                  <c:v>43921</c:v>
                </c:pt>
                <c:pt idx="119">
                  <c:v>43951</c:v>
                </c:pt>
                <c:pt idx="120">
                  <c:v>43980</c:v>
                </c:pt>
              </c:numCache>
            </c:numRef>
          </c:cat>
          <c:val>
            <c:numRef>
              <c:f>'backup (2)'!$B$5:$B$125</c:f>
              <c:numCache>
                <c:formatCode>General</c:formatCode>
                <c:ptCount val="121"/>
                <c:pt idx="0">
                  <c:v>2.1966000000000001</c:v>
                </c:pt>
                <c:pt idx="1">
                  <c:v>1.9811000000000001</c:v>
                </c:pt>
                <c:pt idx="2">
                  <c:v>1.8159000000000001</c:v>
                </c:pt>
                <c:pt idx="3">
                  <c:v>1.7747999999999999</c:v>
                </c:pt>
                <c:pt idx="4">
                  <c:v>1.5615000000000001</c:v>
                </c:pt>
                <c:pt idx="5">
                  <c:v>1.6961999999999999</c:v>
                </c:pt>
                <c:pt idx="6">
                  <c:v>1.7307999999999999</c:v>
                </c:pt>
                <c:pt idx="7">
                  <c:v>1.9475</c:v>
                </c:pt>
                <c:pt idx="8">
                  <c:v>2.0615000000000001</c:v>
                </c:pt>
                <c:pt idx="9">
                  <c:v>2.1665999999999999</c:v>
                </c:pt>
                <c:pt idx="10">
                  <c:v>2.2301000000000002</c:v>
                </c:pt>
                <c:pt idx="11">
                  <c:v>2.3348</c:v>
                </c:pt>
                <c:pt idx="12">
                  <c:v>2.2850999999999999</c:v>
                </c:pt>
                <c:pt idx="13">
                  <c:v>2.1392000000000002</c:v>
                </c:pt>
                <c:pt idx="14">
                  <c:v>2.1859999999999999</c:v>
                </c:pt>
                <c:pt idx="15">
                  <c:v>2.0676000000000001</c:v>
                </c:pt>
                <c:pt idx="16">
                  <c:v>1.7947</c:v>
                </c:pt>
                <c:pt idx="17">
                  <c:v>1.7251000000000001</c:v>
                </c:pt>
                <c:pt idx="18">
                  <c:v>1.8572</c:v>
                </c:pt>
                <c:pt idx="19">
                  <c:v>1.9167000000000001</c:v>
                </c:pt>
                <c:pt idx="20">
                  <c:v>1.6793</c:v>
                </c:pt>
                <c:pt idx="21">
                  <c:v>1.5243</c:v>
                </c:pt>
                <c:pt idx="22">
                  <c:v>1.5273000000000001</c:v>
                </c:pt>
                <c:pt idx="23">
                  <c:v>1.6006</c:v>
                </c:pt>
                <c:pt idx="24">
                  <c:v>1.5327999999999999</c:v>
                </c:pt>
                <c:pt idx="25">
                  <c:v>1.3997999999999999</c:v>
                </c:pt>
                <c:pt idx="26">
                  <c:v>1.4616</c:v>
                </c:pt>
                <c:pt idx="27">
                  <c:v>1.3345</c:v>
                </c:pt>
                <c:pt idx="28">
                  <c:v>1.3168</c:v>
                </c:pt>
                <c:pt idx="29">
                  <c:v>1.3261000000000001</c:v>
                </c:pt>
                <c:pt idx="30">
                  <c:v>1.3382000000000001</c:v>
                </c:pt>
                <c:pt idx="31">
                  <c:v>1.2721</c:v>
                </c:pt>
                <c:pt idx="32">
                  <c:v>1.2967</c:v>
                </c:pt>
                <c:pt idx="33">
                  <c:v>1.3915999999999999</c:v>
                </c:pt>
                <c:pt idx="34">
                  <c:v>1.3218000000000001</c:v>
                </c:pt>
                <c:pt idx="35">
                  <c:v>1.2847</c:v>
                </c:pt>
                <c:pt idx="36">
                  <c:v>1.1883999999999999</c:v>
                </c:pt>
                <c:pt idx="37">
                  <c:v>1.3866000000000001</c:v>
                </c:pt>
                <c:pt idx="38">
                  <c:v>1.5485</c:v>
                </c:pt>
                <c:pt idx="39">
                  <c:v>1.5124</c:v>
                </c:pt>
                <c:pt idx="40">
                  <c:v>1.5878000000000001</c:v>
                </c:pt>
                <c:pt idx="41">
                  <c:v>1.5262</c:v>
                </c:pt>
                <c:pt idx="42">
                  <c:v>1.4412</c:v>
                </c:pt>
                <c:pt idx="43">
                  <c:v>1.4601</c:v>
                </c:pt>
                <c:pt idx="44">
                  <c:v>1.6039000000000001</c:v>
                </c:pt>
                <c:pt idx="45">
                  <c:v>1.4370000000000001</c:v>
                </c:pt>
                <c:pt idx="46">
                  <c:v>1.4187000000000001</c:v>
                </c:pt>
                <c:pt idx="47">
                  <c:v>1.4435</c:v>
                </c:pt>
                <c:pt idx="48">
                  <c:v>1.4014</c:v>
                </c:pt>
                <c:pt idx="49">
                  <c:v>1.3234999999999999</c:v>
                </c:pt>
                <c:pt idx="50">
                  <c:v>1.3019000000000001</c:v>
                </c:pt>
                <c:pt idx="51">
                  <c:v>1.3069999999999999</c:v>
                </c:pt>
                <c:pt idx="52">
                  <c:v>1.1936</c:v>
                </c:pt>
                <c:pt idx="53">
                  <c:v>1.2465999999999999</c:v>
                </c:pt>
                <c:pt idx="54">
                  <c:v>1.1933</c:v>
                </c:pt>
                <c:pt idx="55">
                  <c:v>1.1043000000000001</c:v>
                </c:pt>
                <c:pt idx="56">
                  <c:v>1.0786</c:v>
                </c:pt>
                <c:pt idx="57">
                  <c:v>0.87019999999999997</c:v>
                </c:pt>
                <c:pt idx="58">
                  <c:v>0.96150000000000002</c:v>
                </c:pt>
                <c:pt idx="59">
                  <c:v>0.91049999999999998</c:v>
                </c:pt>
                <c:pt idx="60">
                  <c:v>0.99150000000000005</c:v>
                </c:pt>
                <c:pt idx="61">
                  <c:v>1.0623</c:v>
                </c:pt>
                <c:pt idx="62">
                  <c:v>1.2102999999999999</c:v>
                </c:pt>
                <c:pt idx="63">
                  <c:v>1.1083000000000001</c:v>
                </c:pt>
                <c:pt idx="64">
                  <c:v>1.1434</c:v>
                </c:pt>
                <c:pt idx="65">
                  <c:v>1.0596000000000001</c:v>
                </c:pt>
                <c:pt idx="66">
                  <c:v>1.0640000000000001</c:v>
                </c:pt>
                <c:pt idx="67">
                  <c:v>1.1005</c:v>
                </c:pt>
                <c:pt idx="68">
                  <c:v>1.1627000000000001</c:v>
                </c:pt>
                <c:pt idx="69">
                  <c:v>0.93210000000000004</c:v>
                </c:pt>
                <c:pt idx="70">
                  <c:v>0.81910000000000005</c:v>
                </c:pt>
                <c:pt idx="71">
                  <c:v>0.80410000000000004</c:v>
                </c:pt>
                <c:pt idx="72">
                  <c:v>0.84299999999999997</c:v>
                </c:pt>
                <c:pt idx="73">
                  <c:v>0.82350000000000001</c:v>
                </c:pt>
                <c:pt idx="74">
                  <c:v>0.58630000000000004</c:v>
                </c:pt>
                <c:pt idx="75">
                  <c:v>0.58250000000000002</c:v>
                </c:pt>
                <c:pt idx="76">
                  <c:v>0.65059999999999996</c:v>
                </c:pt>
                <c:pt idx="77">
                  <c:v>0.64549999999999996</c:v>
                </c:pt>
                <c:pt idx="78">
                  <c:v>0.81559999999999999</c:v>
                </c:pt>
                <c:pt idx="79">
                  <c:v>1.0573999999999999</c:v>
                </c:pt>
                <c:pt idx="80">
                  <c:v>1.0596000000000001</c:v>
                </c:pt>
                <c:pt idx="81">
                  <c:v>1.1546000000000001</c:v>
                </c:pt>
                <c:pt idx="82">
                  <c:v>1.0963000000000001</c:v>
                </c:pt>
                <c:pt idx="83">
                  <c:v>1.1533</c:v>
                </c:pt>
                <c:pt idx="84">
                  <c:v>1.0992999999999999</c:v>
                </c:pt>
                <c:pt idx="85">
                  <c:v>1.0667</c:v>
                </c:pt>
                <c:pt idx="86">
                  <c:v>1.1652</c:v>
                </c:pt>
                <c:pt idx="87">
                  <c:v>1.1476999999999999</c:v>
                </c:pt>
                <c:pt idx="88">
                  <c:v>1.0633999999999999</c:v>
                </c:pt>
                <c:pt idx="89">
                  <c:v>1.1797</c:v>
                </c:pt>
                <c:pt idx="90">
                  <c:v>1.1715</c:v>
                </c:pt>
                <c:pt idx="91">
                  <c:v>1.1982999999999999</c:v>
                </c:pt>
                <c:pt idx="92">
                  <c:v>1.2595000000000001</c:v>
                </c:pt>
                <c:pt idx="93">
                  <c:v>1.3985000000000001</c:v>
                </c:pt>
                <c:pt idx="94">
                  <c:v>1.4303999999999999</c:v>
                </c:pt>
                <c:pt idx="95">
                  <c:v>1.3474999999999999</c:v>
                </c:pt>
                <c:pt idx="96">
                  <c:v>1.4554</c:v>
                </c:pt>
                <c:pt idx="97">
                  <c:v>1.5046999999999999</c:v>
                </c:pt>
                <c:pt idx="98">
                  <c:v>1.4982</c:v>
                </c:pt>
                <c:pt idx="99">
                  <c:v>1.5904</c:v>
                </c:pt>
                <c:pt idx="100">
                  <c:v>1.6054999999999999</c:v>
                </c:pt>
                <c:pt idx="101">
                  <c:v>1.7181999999999999</c:v>
                </c:pt>
                <c:pt idx="102">
                  <c:v>1.7609999999999999</c:v>
                </c:pt>
                <c:pt idx="103">
                  <c:v>1.7001999999999999</c:v>
                </c:pt>
                <c:pt idx="104">
                  <c:v>1.5122</c:v>
                </c:pt>
                <c:pt idx="105">
                  <c:v>1.4531000000000001</c:v>
                </c:pt>
                <c:pt idx="106">
                  <c:v>1.5044</c:v>
                </c:pt>
                <c:pt idx="107">
                  <c:v>1.325</c:v>
                </c:pt>
                <c:pt idx="108">
                  <c:v>1.3693</c:v>
                </c:pt>
                <c:pt idx="109">
                  <c:v>1.1863999999999999</c:v>
                </c:pt>
                <c:pt idx="110">
                  <c:v>1.0275000000000001</c:v>
                </c:pt>
                <c:pt idx="111">
                  <c:v>1.0072000000000001</c:v>
                </c:pt>
                <c:pt idx="112">
                  <c:v>0.71050000000000002</c:v>
                </c:pt>
                <c:pt idx="113">
                  <c:v>0.81359999999999999</c:v>
                </c:pt>
                <c:pt idx="114">
                  <c:v>0.86150000000000004</c:v>
                </c:pt>
                <c:pt idx="115">
                  <c:v>0.94440000000000002</c:v>
                </c:pt>
                <c:pt idx="116">
                  <c:v>1.0134000000000001</c:v>
                </c:pt>
                <c:pt idx="117">
                  <c:v>0.78890000000000005</c:v>
                </c:pt>
                <c:pt idx="118">
                  <c:v>0.59309999999999996</c:v>
                </c:pt>
                <c:pt idx="119">
                  <c:v>0.48570000000000002</c:v>
                </c:pt>
                <c:pt idx="120">
                  <c:v>0.36870000000000003</c:v>
                </c:pt>
              </c:numCache>
            </c:numRef>
          </c:val>
          <c:smooth val="0"/>
          <c:extLst xmlns:c16r2="http://schemas.microsoft.com/office/drawing/2015/06/chart">
            <c:ext xmlns:c16="http://schemas.microsoft.com/office/drawing/2014/chart" uri="{C3380CC4-5D6E-409C-BE32-E72D297353CC}">
              <c16:uniqueId val="{00000000-F754-44B6-A234-741D8A4A8DA5}"/>
            </c:ext>
          </c:extLst>
        </c:ser>
        <c:dLbls>
          <c:showLegendKey val="0"/>
          <c:showVal val="0"/>
          <c:showCatName val="0"/>
          <c:showSerName val="0"/>
          <c:showPercent val="0"/>
          <c:showBubbleSize val="0"/>
        </c:dLbls>
        <c:smooth val="0"/>
        <c:axId val="300114384"/>
        <c:axId val="300114776"/>
      </c:lineChart>
      <c:dateAx>
        <c:axId val="300114384"/>
        <c:scaling>
          <c:orientation val="minMax"/>
        </c:scaling>
        <c:delete val="0"/>
        <c:axPos val="b"/>
        <c:numFmt formatCode="mmm\-yy" sourceLinked="0"/>
        <c:majorTickMark val="out"/>
        <c:minorTickMark val="none"/>
        <c:tickLblPos val="low"/>
        <c:spPr>
          <a:noFill/>
          <a:ln w="9525" cap="flat" cmpd="sng" algn="ctr">
            <a:solidFill>
              <a:srgbClr val="868686"/>
            </a:solidFill>
            <a:round/>
          </a:ln>
          <a:effectLst/>
        </c:spPr>
        <c:txPr>
          <a:bodyPr rot="-60000000" spcFirstLastPara="1" vertOverflow="ellipsis" vert="horz" wrap="square" anchor="ctr" anchorCtr="1"/>
          <a:lstStyle/>
          <a:p>
            <a:pPr>
              <a:defRPr sz="900" b="0" i="0" u="none" strike="noStrike" kern="1200" baseline="0">
                <a:solidFill>
                  <a:srgbClr val="415464"/>
                </a:solidFill>
                <a:latin typeface="Arial"/>
                <a:ea typeface="Arial"/>
                <a:cs typeface="Arial"/>
              </a:defRPr>
            </a:pPr>
            <a:endParaRPr lang="cs-CZ"/>
          </a:p>
        </c:txPr>
        <c:crossAx val="300114776"/>
        <c:crosses val="autoZero"/>
        <c:auto val="1"/>
        <c:lblOffset val="100"/>
        <c:baseTimeUnit val="months"/>
      </c:dateAx>
      <c:valAx>
        <c:axId val="300114776"/>
        <c:scaling>
          <c:orientation val="minMax"/>
        </c:scaling>
        <c:delete val="0"/>
        <c:axPos val="l"/>
        <c:numFmt formatCode="0.0" sourceLinked="0"/>
        <c:majorTickMark val="out"/>
        <c:minorTickMark val="none"/>
        <c:tickLblPos val="nextTo"/>
        <c:spPr>
          <a:noFill/>
          <a:ln>
            <a:solidFill>
              <a:srgbClr val="868686"/>
            </a:solidFill>
          </a:ln>
          <a:effectLst/>
        </c:spPr>
        <c:txPr>
          <a:bodyPr rot="-60000000" spcFirstLastPara="1" vertOverflow="ellipsis" vert="horz" wrap="square" anchor="ctr" anchorCtr="1"/>
          <a:lstStyle/>
          <a:p>
            <a:pPr>
              <a:defRPr sz="900" b="0" i="0" u="none" strike="noStrike" kern="1200" baseline="0">
                <a:solidFill>
                  <a:srgbClr val="415464"/>
                </a:solidFill>
                <a:latin typeface="Arial"/>
                <a:ea typeface="Arial"/>
                <a:cs typeface="Arial"/>
              </a:defRPr>
            </a:pPr>
            <a:endParaRPr lang="cs-CZ"/>
          </a:p>
        </c:txPr>
        <c:crossAx val="300114384"/>
        <c:crosses val="autoZero"/>
        <c:crossBetween val="midCat"/>
      </c:valAx>
      <c:spPr>
        <a:noFill/>
        <a:ln>
          <a:noFill/>
        </a:ln>
        <a:effectLst/>
        <a:ex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txPr>
    <a:bodyPr/>
    <a:lstStyle/>
    <a:p>
      <a:pPr>
        <a:defRPr sz="900" b="0">
          <a:solidFill>
            <a:srgbClr val="415464"/>
          </a:solidFill>
          <a:latin typeface="Arial"/>
          <a:ea typeface="Arial"/>
          <a:cs typeface="Arial"/>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755167760287035E-2"/>
          <c:y val="4.0155287034144359E-2"/>
          <c:w val="0.91100209700358792"/>
          <c:h val="0.74194168741119038"/>
        </c:manualLayout>
      </c:layout>
      <c:lineChart>
        <c:grouping val="standard"/>
        <c:varyColors val="0"/>
        <c:ser>
          <c:idx val="0"/>
          <c:order val="0"/>
          <c:tx>
            <c:strRef>
              <c:f>'backup (2)'!$S$4</c:f>
              <c:strCache>
                <c:ptCount val="1"/>
                <c:pt idx="0">
                  <c:v>MSCI AC WORLD U$ - DIVIDEND YIELD - DIVIDEND  YIELD</c:v>
                </c:pt>
              </c:strCache>
            </c:strRef>
          </c:tx>
          <c:spPr>
            <a:ln w="28575" cap="rnd">
              <a:solidFill>
                <a:schemeClr val="accent1"/>
              </a:solidFill>
              <a:round/>
            </a:ln>
            <a:effectLst/>
          </c:spPr>
          <c:marker>
            <c:symbol val="none"/>
          </c:marker>
          <c:cat>
            <c:numRef>
              <c:f>'backup (2)'!$R$5:$R$125</c:f>
              <c:numCache>
                <c:formatCode>m/d/yyyy</c:formatCode>
                <c:ptCount val="121"/>
                <c:pt idx="0">
                  <c:v>40329</c:v>
                </c:pt>
                <c:pt idx="1">
                  <c:v>40359</c:v>
                </c:pt>
                <c:pt idx="2">
                  <c:v>40389</c:v>
                </c:pt>
                <c:pt idx="3">
                  <c:v>40421</c:v>
                </c:pt>
                <c:pt idx="4">
                  <c:v>40451</c:v>
                </c:pt>
                <c:pt idx="5">
                  <c:v>40480</c:v>
                </c:pt>
                <c:pt idx="6">
                  <c:v>40512</c:v>
                </c:pt>
                <c:pt idx="7">
                  <c:v>40543</c:v>
                </c:pt>
                <c:pt idx="8">
                  <c:v>40574</c:v>
                </c:pt>
                <c:pt idx="9">
                  <c:v>40602</c:v>
                </c:pt>
                <c:pt idx="10">
                  <c:v>40633</c:v>
                </c:pt>
                <c:pt idx="11">
                  <c:v>40662</c:v>
                </c:pt>
                <c:pt idx="12">
                  <c:v>40694</c:v>
                </c:pt>
                <c:pt idx="13">
                  <c:v>40724</c:v>
                </c:pt>
                <c:pt idx="14">
                  <c:v>40753</c:v>
                </c:pt>
                <c:pt idx="15">
                  <c:v>40786</c:v>
                </c:pt>
                <c:pt idx="16">
                  <c:v>40816</c:v>
                </c:pt>
                <c:pt idx="17">
                  <c:v>40847</c:v>
                </c:pt>
                <c:pt idx="18">
                  <c:v>40877</c:v>
                </c:pt>
                <c:pt idx="19">
                  <c:v>40907</c:v>
                </c:pt>
                <c:pt idx="20">
                  <c:v>40939</c:v>
                </c:pt>
                <c:pt idx="21">
                  <c:v>40968</c:v>
                </c:pt>
                <c:pt idx="22">
                  <c:v>40998</c:v>
                </c:pt>
                <c:pt idx="23">
                  <c:v>41029</c:v>
                </c:pt>
                <c:pt idx="24">
                  <c:v>41060</c:v>
                </c:pt>
                <c:pt idx="25">
                  <c:v>41089</c:v>
                </c:pt>
                <c:pt idx="26">
                  <c:v>41121</c:v>
                </c:pt>
                <c:pt idx="27">
                  <c:v>41152</c:v>
                </c:pt>
                <c:pt idx="28">
                  <c:v>41180</c:v>
                </c:pt>
                <c:pt idx="29">
                  <c:v>41213</c:v>
                </c:pt>
                <c:pt idx="30">
                  <c:v>41243</c:v>
                </c:pt>
                <c:pt idx="31">
                  <c:v>41274</c:v>
                </c:pt>
                <c:pt idx="32">
                  <c:v>41305</c:v>
                </c:pt>
                <c:pt idx="33">
                  <c:v>41333</c:v>
                </c:pt>
                <c:pt idx="34">
                  <c:v>41362</c:v>
                </c:pt>
                <c:pt idx="35">
                  <c:v>41394</c:v>
                </c:pt>
                <c:pt idx="36">
                  <c:v>41425</c:v>
                </c:pt>
                <c:pt idx="37">
                  <c:v>41453</c:v>
                </c:pt>
                <c:pt idx="38">
                  <c:v>41486</c:v>
                </c:pt>
                <c:pt idx="39">
                  <c:v>41516</c:v>
                </c:pt>
                <c:pt idx="40">
                  <c:v>41547</c:v>
                </c:pt>
                <c:pt idx="41">
                  <c:v>41578</c:v>
                </c:pt>
                <c:pt idx="42">
                  <c:v>41607</c:v>
                </c:pt>
                <c:pt idx="43">
                  <c:v>41639</c:v>
                </c:pt>
                <c:pt idx="44">
                  <c:v>41670</c:v>
                </c:pt>
                <c:pt idx="45">
                  <c:v>41698</c:v>
                </c:pt>
                <c:pt idx="46">
                  <c:v>41729</c:v>
                </c:pt>
                <c:pt idx="47">
                  <c:v>41759</c:v>
                </c:pt>
                <c:pt idx="48">
                  <c:v>41789</c:v>
                </c:pt>
                <c:pt idx="49">
                  <c:v>41820</c:v>
                </c:pt>
                <c:pt idx="50">
                  <c:v>41851</c:v>
                </c:pt>
                <c:pt idx="51">
                  <c:v>41880</c:v>
                </c:pt>
                <c:pt idx="52">
                  <c:v>41912</c:v>
                </c:pt>
                <c:pt idx="53">
                  <c:v>41943</c:v>
                </c:pt>
                <c:pt idx="54">
                  <c:v>41971</c:v>
                </c:pt>
                <c:pt idx="55">
                  <c:v>42004</c:v>
                </c:pt>
                <c:pt idx="56">
                  <c:v>42034</c:v>
                </c:pt>
                <c:pt idx="57">
                  <c:v>42062</c:v>
                </c:pt>
                <c:pt idx="58">
                  <c:v>42094</c:v>
                </c:pt>
                <c:pt idx="59">
                  <c:v>42124</c:v>
                </c:pt>
                <c:pt idx="60">
                  <c:v>42153</c:v>
                </c:pt>
                <c:pt idx="61">
                  <c:v>42185</c:v>
                </c:pt>
                <c:pt idx="62">
                  <c:v>42216</c:v>
                </c:pt>
                <c:pt idx="63">
                  <c:v>42247</c:v>
                </c:pt>
                <c:pt idx="64">
                  <c:v>42277</c:v>
                </c:pt>
                <c:pt idx="65">
                  <c:v>42307</c:v>
                </c:pt>
                <c:pt idx="66">
                  <c:v>42338</c:v>
                </c:pt>
                <c:pt idx="67">
                  <c:v>42369</c:v>
                </c:pt>
                <c:pt idx="68">
                  <c:v>42398</c:v>
                </c:pt>
                <c:pt idx="69">
                  <c:v>42429</c:v>
                </c:pt>
                <c:pt idx="70">
                  <c:v>42460</c:v>
                </c:pt>
                <c:pt idx="71">
                  <c:v>42489</c:v>
                </c:pt>
                <c:pt idx="72">
                  <c:v>42521</c:v>
                </c:pt>
                <c:pt idx="73">
                  <c:v>42551</c:v>
                </c:pt>
                <c:pt idx="74">
                  <c:v>42580</c:v>
                </c:pt>
                <c:pt idx="75">
                  <c:v>42613</c:v>
                </c:pt>
                <c:pt idx="76">
                  <c:v>42643</c:v>
                </c:pt>
                <c:pt idx="77">
                  <c:v>42674</c:v>
                </c:pt>
                <c:pt idx="78">
                  <c:v>42704</c:v>
                </c:pt>
                <c:pt idx="79">
                  <c:v>42734</c:v>
                </c:pt>
                <c:pt idx="80">
                  <c:v>42766</c:v>
                </c:pt>
                <c:pt idx="81">
                  <c:v>42794</c:v>
                </c:pt>
                <c:pt idx="82">
                  <c:v>42825</c:v>
                </c:pt>
                <c:pt idx="83">
                  <c:v>42853</c:v>
                </c:pt>
                <c:pt idx="84">
                  <c:v>42886</c:v>
                </c:pt>
                <c:pt idx="85">
                  <c:v>42916</c:v>
                </c:pt>
                <c:pt idx="86">
                  <c:v>42947</c:v>
                </c:pt>
                <c:pt idx="87">
                  <c:v>42978</c:v>
                </c:pt>
                <c:pt idx="88">
                  <c:v>43007</c:v>
                </c:pt>
                <c:pt idx="89">
                  <c:v>43039</c:v>
                </c:pt>
                <c:pt idx="90">
                  <c:v>43069</c:v>
                </c:pt>
                <c:pt idx="91">
                  <c:v>43098</c:v>
                </c:pt>
                <c:pt idx="92">
                  <c:v>43131</c:v>
                </c:pt>
                <c:pt idx="93">
                  <c:v>43159</c:v>
                </c:pt>
                <c:pt idx="94">
                  <c:v>43189</c:v>
                </c:pt>
                <c:pt idx="95">
                  <c:v>43220</c:v>
                </c:pt>
                <c:pt idx="96">
                  <c:v>43251</c:v>
                </c:pt>
                <c:pt idx="97">
                  <c:v>43280</c:v>
                </c:pt>
                <c:pt idx="98">
                  <c:v>43312</c:v>
                </c:pt>
                <c:pt idx="99">
                  <c:v>43343</c:v>
                </c:pt>
                <c:pt idx="100">
                  <c:v>43371</c:v>
                </c:pt>
                <c:pt idx="101">
                  <c:v>43404</c:v>
                </c:pt>
                <c:pt idx="102">
                  <c:v>43434</c:v>
                </c:pt>
                <c:pt idx="103">
                  <c:v>43465</c:v>
                </c:pt>
                <c:pt idx="104">
                  <c:v>43496</c:v>
                </c:pt>
                <c:pt idx="105">
                  <c:v>43524</c:v>
                </c:pt>
                <c:pt idx="106">
                  <c:v>43553</c:v>
                </c:pt>
                <c:pt idx="107">
                  <c:v>43585</c:v>
                </c:pt>
                <c:pt idx="108">
                  <c:v>43616</c:v>
                </c:pt>
                <c:pt idx="109">
                  <c:v>43644</c:v>
                </c:pt>
                <c:pt idx="110">
                  <c:v>43677</c:v>
                </c:pt>
                <c:pt idx="111">
                  <c:v>43707</c:v>
                </c:pt>
                <c:pt idx="112">
                  <c:v>43738</c:v>
                </c:pt>
                <c:pt idx="113">
                  <c:v>43769</c:v>
                </c:pt>
                <c:pt idx="114">
                  <c:v>43798</c:v>
                </c:pt>
                <c:pt idx="115">
                  <c:v>43830</c:v>
                </c:pt>
                <c:pt idx="116">
                  <c:v>43861</c:v>
                </c:pt>
                <c:pt idx="117">
                  <c:v>43889</c:v>
                </c:pt>
                <c:pt idx="118">
                  <c:v>43921</c:v>
                </c:pt>
                <c:pt idx="119">
                  <c:v>43951</c:v>
                </c:pt>
                <c:pt idx="120">
                  <c:v>43980</c:v>
                </c:pt>
              </c:numCache>
            </c:numRef>
          </c:cat>
          <c:val>
            <c:numRef>
              <c:f>'backup (2)'!$S$5:$S$125</c:f>
              <c:numCache>
                <c:formatCode>General</c:formatCode>
                <c:ptCount val="121"/>
                <c:pt idx="0">
                  <c:v>2.5009999999999999</c:v>
                </c:pt>
                <c:pt idx="1">
                  <c:v>2.605</c:v>
                </c:pt>
                <c:pt idx="2">
                  <c:v>2.5110000000000001</c:v>
                </c:pt>
                <c:pt idx="3">
                  <c:v>2.6219999999999999</c:v>
                </c:pt>
                <c:pt idx="4">
                  <c:v>2.4780000000000002</c:v>
                </c:pt>
                <c:pt idx="5">
                  <c:v>2.4159999999999999</c:v>
                </c:pt>
                <c:pt idx="6">
                  <c:v>2.4279999999999999</c:v>
                </c:pt>
                <c:pt idx="7">
                  <c:v>2.3220000000000001</c:v>
                </c:pt>
                <c:pt idx="8">
                  <c:v>2.3090000000000002</c:v>
                </c:pt>
                <c:pt idx="9">
                  <c:v>2.298</c:v>
                </c:pt>
                <c:pt idx="10">
                  <c:v>2.3759999999999999</c:v>
                </c:pt>
                <c:pt idx="11">
                  <c:v>2.3919999999999999</c:v>
                </c:pt>
                <c:pt idx="12">
                  <c:v>2.4820000000000002</c:v>
                </c:pt>
                <c:pt idx="13">
                  <c:v>2.536</c:v>
                </c:pt>
                <c:pt idx="14">
                  <c:v>2.6259999999999999</c:v>
                </c:pt>
                <c:pt idx="15">
                  <c:v>2.851</c:v>
                </c:pt>
                <c:pt idx="16">
                  <c:v>3.0590000000000002</c:v>
                </c:pt>
                <c:pt idx="17">
                  <c:v>2.855</c:v>
                </c:pt>
                <c:pt idx="18">
                  <c:v>2.9249999999999998</c:v>
                </c:pt>
                <c:pt idx="19">
                  <c:v>2.9350000000000001</c:v>
                </c:pt>
                <c:pt idx="20">
                  <c:v>2.8130000000000002</c:v>
                </c:pt>
                <c:pt idx="21">
                  <c:v>2.7360000000000002</c:v>
                </c:pt>
                <c:pt idx="22">
                  <c:v>2.7229999999999999</c:v>
                </c:pt>
                <c:pt idx="23">
                  <c:v>2.819</c:v>
                </c:pt>
                <c:pt idx="24">
                  <c:v>3.04</c:v>
                </c:pt>
                <c:pt idx="25">
                  <c:v>2.9169999999999998</c:v>
                </c:pt>
                <c:pt idx="26">
                  <c:v>2.8820000000000001</c:v>
                </c:pt>
                <c:pt idx="27">
                  <c:v>2.887</c:v>
                </c:pt>
                <c:pt idx="28">
                  <c:v>2.827</c:v>
                </c:pt>
                <c:pt idx="29">
                  <c:v>2.8530000000000002</c:v>
                </c:pt>
                <c:pt idx="30">
                  <c:v>2.8210000000000002</c:v>
                </c:pt>
                <c:pt idx="31">
                  <c:v>2.7759999999999998</c:v>
                </c:pt>
                <c:pt idx="32">
                  <c:v>2.6720000000000002</c:v>
                </c:pt>
                <c:pt idx="33">
                  <c:v>2.6720000000000002</c:v>
                </c:pt>
                <c:pt idx="34">
                  <c:v>2.6389999999999998</c:v>
                </c:pt>
                <c:pt idx="35">
                  <c:v>2.6080000000000001</c:v>
                </c:pt>
                <c:pt idx="36">
                  <c:v>2.617</c:v>
                </c:pt>
                <c:pt idx="37">
                  <c:v>2.6829999999999998</c:v>
                </c:pt>
                <c:pt idx="38">
                  <c:v>2.58</c:v>
                </c:pt>
                <c:pt idx="39">
                  <c:v>2.6459999999999999</c:v>
                </c:pt>
                <c:pt idx="40">
                  <c:v>2.57</c:v>
                </c:pt>
                <c:pt idx="41">
                  <c:v>2.4809999999999999</c:v>
                </c:pt>
                <c:pt idx="42">
                  <c:v>2.4449999999999998</c:v>
                </c:pt>
                <c:pt idx="43">
                  <c:v>2.4140000000000001</c:v>
                </c:pt>
                <c:pt idx="44">
                  <c:v>2.5110000000000001</c:v>
                </c:pt>
                <c:pt idx="45">
                  <c:v>2.4729999999999999</c:v>
                </c:pt>
                <c:pt idx="46">
                  <c:v>2.4940000000000002</c:v>
                </c:pt>
                <c:pt idx="47">
                  <c:v>2.508</c:v>
                </c:pt>
                <c:pt idx="48">
                  <c:v>2.4889999999999999</c:v>
                </c:pt>
                <c:pt idx="49">
                  <c:v>2.4630000000000001</c:v>
                </c:pt>
                <c:pt idx="50">
                  <c:v>2.4849999999999999</c:v>
                </c:pt>
                <c:pt idx="51">
                  <c:v>2.4390000000000001</c:v>
                </c:pt>
                <c:pt idx="52">
                  <c:v>2.4830000000000001</c:v>
                </c:pt>
                <c:pt idx="53">
                  <c:v>2.4660000000000002</c:v>
                </c:pt>
                <c:pt idx="54">
                  <c:v>2.41</c:v>
                </c:pt>
                <c:pt idx="55">
                  <c:v>2.4660000000000002</c:v>
                </c:pt>
                <c:pt idx="56">
                  <c:v>2.4609999999999999</c:v>
                </c:pt>
                <c:pt idx="57">
                  <c:v>2.3610000000000002</c:v>
                </c:pt>
                <c:pt idx="58">
                  <c:v>2.3889999999999998</c:v>
                </c:pt>
                <c:pt idx="59">
                  <c:v>2.387</c:v>
                </c:pt>
                <c:pt idx="60">
                  <c:v>2.3919999999999999</c:v>
                </c:pt>
                <c:pt idx="61">
                  <c:v>2.4729999999999999</c:v>
                </c:pt>
                <c:pt idx="62">
                  <c:v>2.4380000000000002</c:v>
                </c:pt>
                <c:pt idx="63">
                  <c:v>2.6110000000000002</c:v>
                </c:pt>
                <c:pt idx="64">
                  <c:v>2.714</c:v>
                </c:pt>
                <c:pt idx="65">
                  <c:v>2.5299999999999998</c:v>
                </c:pt>
                <c:pt idx="66">
                  <c:v>2.5390000000000001</c:v>
                </c:pt>
                <c:pt idx="67">
                  <c:v>2.5950000000000002</c:v>
                </c:pt>
                <c:pt idx="68">
                  <c:v>2.734</c:v>
                </c:pt>
                <c:pt idx="69">
                  <c:v>2.8069999999999999</c:v>
                </c:pt>
                <c:pt idx="70">
                  <c:v>2.6749999999999998</c:v>
                </c:pt>
                <c:pt idx="71">
                  <c:v>2.6680000000000001</c:v>
                </c:pt>
                <c:pt idx="72">
                  <c:v>2.6520000000000001</c:v>
                </c:pt>
                <c:pt idx="73">
                  <c:v>2.6720000000000002</c:v>
                </c:pt>
                <c:pt idx="74">
                  <c:v>2.5760000000000001</c:v>
                </c:pt>
                <c:pt idx="75">
                  <c:v>2.556</c:v>
                </c:pt>
                <c:pt idx="76">
                  <c:v>2.5649999999999999</c:v>
                </c:pt>
                <c:pt idx="77">
                  <c:v>2.5859999999999999</c:v>
                </c:pt>
                <c:pt idx="78">
                  <c:v>2.5409999999999999</c:v>
                </c:pt>
                <c:pt idx="79">
                  <c:v>2.492</c:v>
                </c:pt>
                <c:pt idx="80">
                  <c:v>2.4670000000000001</c:v>
                </c:pt>
                <c:pt idx="81">
                  <c:v>2.4350000000000001</c:v>
                </c:pt>
                <c:pt idx="82">
                  <c:v>2.4279999999999999</c:v>
                </c:pt>
                <c:pt idx="83">
                  <c:v>2.4089999999999998</c:v>
                </c:pt>
                <c:pt idx="84">
                  <c:v>2.4089999999999998</c:v>
                </c:pt>
                <c:pt idx="85">
                  <c:v>2.42</c:v>
                </c:pt>
                <c:pt idx="86">
                  <c:v>2.3980000000000001</c:v>
                </c:pt>
                <c:pt idx="87">
                  <c:v>2.42</c:v>
                </c:pt>
                <c:pt idx="88">
                  <c:v>2.3849999999999998</c:v>
                </c:pt>
                <c:pt idx="89">
                  <c:v>2.3319999999999999</c:v>
                </c:pt>
                <c:pt idx="90">
                  <c:v>2.3170000000000002</c:v>
                </c:pt>
                <c:pt idx="91">
                  <c:v>2.2839999999999998</c:v>
                </c:pt>
                <c:pt idx="92">
                  <c:v>2.2149999999999999</c:v>
                </c:pt>
                <c:pt idx="93">
                  <c:v>2.3370000000000002</c:v>
                </c:pt>
                <c:pt idx="94">
                  <c:v>2.4180000000000001</c:v>
                </c:pt>
                <c:pt idx="95">
                  <c:v>2.4009999999999998</c:v>
                </c:pt>
                <c:pt idx="96">
                  <c:v>2.41</c:v>
                </c:pt>
                <c:pt idx="97">
                  <c:v>2.4279999999999999</c:v>
                </c:pt>
                <c:pt idx="98">
                  <c:v>2.3839999999999999</c:v>
                </c:pt>
                <c:pt idx="99">
                  <c:v>2.379</c:v>
                </c:pt>
                <c:pt idx="100">
                  <c:v>2.39</c:v>
                </c:pt>
                <c:pt idx="101">
                  <c:v>2.5840000000000001</c:v>
                </c:pt>
                <c:pt idx="102">
                  <c:v>2.5680000000000001</c:v>
                </c:pt>
                <c:pt idx="103">
                  <c:v>2.7770000000000001</c:v>
                </c:pt>
                <c:pt idx="104">
                  <c:v>2.6110000000000002</c:v>
                </c:pt>
                <c:pt idx="105">
                  <c:v>2.5619999999999998</c:v>
                </c:pt>
                <c:pt idx="106">
                  <c:v>2.5369999999999999</c:v>
                </c:pt>
                <c:pt idx="107">
                  <c:v>2.4700000000000002</c:v>
                </c:pt>
                <c:pt idx="108">
                  <c:v>2.6160000000000001</c:v>
                </c:pt>
                <c:pt idx="109">
                  <c:v>2.4900000000000002</c:v>
                </c:pt>
                <c:pt idx="110">
                  <c:v>2.492</c:v>
                </c:pt>
                <c:pt idx="111">
                  <c:v>2.556</c:v>
                </c:pt>
                <c:pt idx="112">
                  <c:v>2.5179999999999998</c:v>
                </c:pt>
                <c:pt idx="113">
                  <c:v>2.4809999999999999</c:v>
                </c:pt>
                <c:pt idx="114">
                  <c:v>2.4060000000000001</c:v>
                </c:pt>
                <c:pt idx="115">
                  <c:v>2.363</c:v>
                </c:pt>
                <c:pt idx="116">
                  <c:v>2.387</c:v>
                </c:pt>
                <c:pt idx="117">
                  <c:v>2.605</c:v>
                </c:pt>
                <c:pt idx="118">
                  <c:v>2.9940000000000002</c:v>
                </c:pt>
                <c:pt idx="119">
                  <c:v>2.423</c:v>
                </c:pt>
                <c:pt idx="120">
                  <c:v>2.319</c:v>
                </c:pt>
              </c:numCache>
            </c:numRef>
          </c:val>
          <c:smooth val="0"/>
          <c:extLst xmlns:c16r2="http://schemas.microsoft.com/office/drawing/2015/06/chart">
            <c:ext xmlns:c16="http://schemas.microsoft.com/office/drawing/2014/chart" uri="{C3380CC4-5D6E-409C-BE32-E72D297353CC}">
              <c16:uniqueId val="{00000000-A9C4-4F39-8D5D-76B1448C48AF}"/>
            </c:ext>
          </c:extLst>
        </c:ser>
        <c:dLbls>
          <c:showLegendKey val="0"/>
          <c:showVal val="0"/>
          <c:showCatName val="0"/>
          <c:showSerName val="0"/>
          <c:showPercent val="0"/>
          <c:showBubbleSize val="0"/>
        </c:dLbls>
        <c:smooth val="0"/>
        <c:axId val="454981880"/>
        <c:axId val="454979136"/>
      </c:lineChart>
      <c:dateAx>
        <c:axId val="454981880"/>
        <c:scaling>
          <c:orientation val="minMax"/>
        </c:scaling>
        <c:delete val="0"/>
        <c:axPos val="b"/>
        <c:numFmt formatCode="mmm\-yy" sourceLinked="0"/>
        <c:majorTickMark val="out"/>
        <c:minorTickMark val="none"/>
        <c:tickLblPos val="low"/>
        <c:spPr>
          <a:noFill/>
          <a:ln w="9525" cap="flat" cmpd="sng" algn="ctr">
            <a:solidFill>
              <a:srgbClr val="868686"/>
            </a:solidFill>
            <a:round/>
          </a:ln>
          <a:effectLst/>
        </c:spPr>
        <c:txPr>
          <a:bodyPr rot="-60000000" spcFirstLastPara="1" vertOverflow="ellipsis" vert="horz" wrap="square" anchor="ctr" anchorCtr="1"/>
          <a:lstStyle/>
          <a:p>
            <a:pPr>
              <a:defRPr sz="900" b="0" i="0" u="none" strike="noStrike" kern="1200" baseline="0">
                <a:solidFill>
                  <a:srgbClr val="415464"/>
                </a:solidFill>
                <a:latin typeface="Arial"/>
                <a:ea typeface="Arial"/>
                <a:cs typeface="Arial"/>
              </a:defRPr>
            </a:pPr>
            <a:endParaRPr lang="cs-CZ"/>
          </a:p>
        </c:txPr>
        <c:crossAx val="454979136"/>
        <c:crosses val="autoZero"/>
        <c:auto val="1"/>
        <c:lblOffset val="100"/>
        <c:baseTimeUnit val="months"/>
      </c:dateAx>
      <c:valAx>
        <c:axId val="454979136"/>
        <c:scaling>
          <c:orientation val="minMax"/>
          <c:max val="3.5"/>
          <c:min val="1.5"/>
        </c:scaling>
        <c:delete val="0"/>
        <c:axPos val="l"/>
        <c:numFmt formatCode="0.0" sourceLinked="0"/>
        <c:majorTickMark val="out"/>
        <c:minorTickMark val="none"/>
        <c:tickLblPos val="nextTo"/>
        <c:spPr>
          <a:noFill/>
          <a:ln>
            <a:solidFill>
              <a:srgbClr val="868686"/>
            </a:solidFill>
          </a:ln>
          <a:effectLst/>
        </c:spPr>
        <c:txPr>
          <a:bodyPr rot="-60000000" spcFirstLastPara="1" vertOverflow="ellipsis" vert="horz" wrap="square" anchor="ctr" anchorCtr="1"/>
          <a:lstStyle/>
          <a:p>
            <a:pPr>
              <a:defRPr sz="900" b="0" i="0" u="none" strike="noStrike" kern="1200" baseline="0">
                <a:solidFill>
                  <a:srgbClr val="415464"/>
                </a:solidFill>
                <a:latin typeface="Arial"/>
                <a:ea typeface="Arial"/>
                <a:cs typeface="Arial"/>
              </a:defRPr>
            </a:pPr>
            <a:endParaRPr lang="cs-CZ"/>
          </a:p>
        </c:txPr>
        <c:crossAx val="454981880"/>
        <c:crosses val="autoZero"/>
        <c:crossBetween val="midCat"/>
        <c:majorUnit val="0.5"/>
      </c:valAx>
      <c:spPr>
        <a:noFill/>
        <a:ln>
          <a:noFill/>
        </a:ln>
        <a:effectLst/>
        <a:ex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txPr>
    <a:bodyPr/>
    <a:lstStyle/>
    <a:p>
      <a:pPr>
        <a:defRPr sz="900">
          <a:solidFill>
            <a:srgbClr val="415464"/>
          </a:solidFill>
          <a:latin typeface="Arial"/>
          <a:ea typeface="Arial"/>
          <a:cs typeface="Arial"/>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412400604454217E-2"/>
          <c:y val="4.9236303628962974E-2"/>
          <c:w val="0.87615807130069001"/>
          <c:h val="0.77730146689601398"/>
        </c:manualLayout>
      </c:layout>
      <c:barChart>
        <c:barDir val="col"/>
        <c:grouping val="clustered"/>
        <c:varyColors val="0"/>
        <c:ser>
          <c:idx val="1"/>
          <c:order val="1"/>
          <c:tx>
            <c:strRef>
              <c:f>'Table 1.1.'!$B$8</c:f>
              <c:strCache>
                <c:ptCount val="1"/>
                <c:pt idx="0">
                  <c:v>World</c:v>
                </c:pt>
              </c:strCache>
            </c:strRef>
          </c:tx>
          <c:spPr>
            <a:solidFill>
              <a:srgbClr val="0A4D80"/>
            </a:solidFill>
            <a:ln>
              <a:noFill/>
            </a:ln>
            <a:effectLst/>
            <a:extLst/>
          </c:spPr>
          <c:invertIfNegative val="0"/>
          <c:dPt>
            <c:idx val="8"/>
            <c:invertIfNegative val="0"/>
            <c:bubble3D val="0"/>
            <c:spPr>
              <a:solidFill>
                <a:srgbClr val="FF0000"/>
              </a:solidFill>
              <a:ln>
                <a:noFill/>
              </a:ln>
              <a:effectLst/>
              <a:extLst>
                <a:ext uri="{91240B29-F687-4F45-9708-019B960494DF}">
                  <a14:hiddenLine xmlns:a14="http://schemas.microsoft.com/office/drawing/2010/main">
                    <a:noFill/>
                  </a14:hiddenLine>
                </a:ext>
              </a:extLst>
            </c:spPr>
            <c:extLst xmlns:c16r2="http://schemas.microsoft.com/office/drawing/2015/06/chart">
              <c:ext xmlns:c16="http://schemas.microsoft.com/office/drawing/2014/chart" uri="{C3380CC4-5D6E-409C-BE32-E72D297353CC}">
                <c16:uniqueId val="{00000001-9EA4-4E64-B010-ED5396489672}"/>
              </c:ext>
            </c:extLst>
          </c:dPt>
          <c:cat>
            <c:numRef>
              <c:f>'Table 1.1.'!$C$6:$K$6</c:f>
              <c:numCache>
                <c:formatCode>0</c:formatCode>
                <c:ptCount val="9"/>
                <c:pt idx="0">
                  <c:v>2012</c:v>
                </c:pt>
                <c:pt idx="1">
                  <c:v>2013</c:v>
                </c:pt>
                <c:pt idx="2">
                  <c:v>2014</c:v>
                </c:pt>
                <c:pt idx="3">
                  <c:v>2015</c:v>
                </c:pt>
                <c:pt idx="4">
                  <c:v>2016</c:v>
                </c:pt>
                <c:pt idx="5">
                  <c:v>2017</c:v>
                </c:pt>
                <c:pt idx="6">
                  <c:v>2018</c:v>
                </c:pt>
                <c:pt idx="7">
                  <c:v>2019</c:v>
                </c:pt>
                <c:pt idx="8">
                  <c:v>2020</c:v>
                </c:pt>
              </c:numCache>
            </c:numRef>
          </c:cat>
          <c:val>
            <c:numRef>
              <c:f>'Table 1.1.'!$C$8:$K$8</c:f>
              <c:numCache>
                <c:formatCode>0.0</c:formatCode>
                <c:ptCount val="9"/>
                <c:pt idx="0">
                  <c:v>-3.7821811774569327</c:v>
                </c:pt>
                <c:pt idx="1">
                  <c:v>-2.89220845331843</c:v>
                </c:pt>
                <c:pt idx="2">
                  <c:v>-2.8637018528053719</c:v>
                </c:pt>
                <c:pt idx="3">
                  <c:v>-3.3148005314628088</c:v>
                </c:pt>
                <c:pt idx="4">
                  <c:v>-3.4411972926621996</c:v>
                </c:pt>
                <c:pt idx="5">
                  <c:v>-3.0115403696559016</c:v>
                </c:pt>
                <c:pt idx="6">
                  <c:v>-3.0573706170439658</c:v>
                </c:pt>
                <c:pt idx="7">
                  <c:v>-3.6760563208917096</c:v>
                </c:pt>
                <c:pt idx="8">
                  <c:v>-9.8651784204977986</c:v>
                </c:pt>
              </c:numCache>
            </c:numRef>
          </c:val>
          <c:extLst xmlns:c16r2="http://schemas.microsoft.com/office/drawing/2015/06/chart">
            <c:ext xmlns:c16="http://schemas.microsoft.com/office/drawing/2014/chart" uri="{C3380CC4-5D6E-409C-BE32-E72D297353CC}">
              <c16:uniqueId val="{00000002-9EA4-4E64-B010-ED5396489672}"/>
            </c:ext>
          </c:extLst>
        </c:ser>
        <c:dLbls>
          <c:showLegendKey val="0"/>
          <c:showVal val="0"/>
          <c:showCatName val="0"/>
          <c:showSerName val="0"/>
          <c:showPercent val="0"/>
          <c:showBubbleSize val="0"/>
        </c:dLbls>
        <c:gapWidth val="85"/>
        <c:axId val="454979920"/>
        <c:axId val="454982664"/>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'Table 1.1.'!$B$7</c15:sqref>
                        </c15:formulaRef>
                      </c:ext>
                    </c:extLst>
                    <c:strCache>
                      <c:ptCount val="1"/>
                    </c:strCache>
                  </c:strRef>
                </c:tx>
                <c:spPr>
                  <a:solidFill>
                    <a:schemeClr val="accent1"/>
                  </a:solidFill>
                  <a:ln>
                    <a:noFill/>
                  </a:ln>
                  <a:effectLst/>
                </c:spPr>
                <c:invertIfNegative val="0"/>
                <c:cat>
                  <c:numRef>
                    <c:extLst xmlns:c16r2="http://schemas.microsoft.com/office/drawing/2015/06/chart">
                      <c:ext uri="{02D57815-91ED-43cb-92C2-25804820EDAC}">
                        <c15:formulaRef>
                          <c15:sqref>'Table 1.1.'!$C$6:$K$6</c15:sqref>
                        </c15:formulaRef>
                      </c:ext>
                    </c:extLst>
                    <c:numCache>
                      <c:formatCode>0</c:formatCode>
                      <c:ptCount val="9"/>
                      <c:pt idx="0">
                        <c:v>2012</c:v>
                      </c:pt>
                      <c:pt idx="1">
                        <c:v>2013</c:v>
                      </c:pt>
                      <c:pt idx="2">
                        <c:v>2014</c:v>
                      </c:pt>
                      <c:pt idx="3">
                        <c:v>2015</c:v>
                      </c:pt>
                      <c:pt idx="4">
                        <c:v>2016</c:v>
                      </c:pt>
                      <c:pt idx="5">
                        <c:v>2017</c:v>
                      </c:pt>
                      <c:pt idx="6">
                        <c:v>2018</c:v>
                      </c:pt>
                      <c:pt idx="7">
                        <c:v>2019</c:v>
                      </c:pt>
                      <c:pt idx="8">
                        <c:v>2020</c:v>
                      </c:pt>
                    </c:numCache>
                  </c:numRef>
                </c:cat>
                <c:val>
                  <c:numRef>
                    <c:extLst xmlns:c16r2="http://schemas.microsoft.com/office/drawing/2015/06/chart">
                      <c:ext uri="{02D57815-91ED-43cb-92C2-25804820EDAC}">
                        <c15:formulaRef>
                          <c15:sqref>'Table 1.1.'!$C$7:$K$7</c15:sqref>
                        </c15:formulaRef>
                      </c:ext>
                    </c:extLst>
                    <c:numCache>
                      <c:formatCode>General</c:formatCode>
                      <c:ptCount val="9"/>
                    </c:numCache>
                  </c:numRef>
                </c:val>
                <c:extLst xmlns:c16r2="http://schemas.microsoft.com/office/drawing/2015/06/chart">
                  <c:ext xmlns:c16="http://schemas.microsoft.com/office/drawing/2014/chart" uri="{C3380CC4-5D6E-409C-BE32-E72D297353CC}">
                    <c16:uniqueId val="{00000003-9EA4-4E64-B010-ED5396489672}"/>
                  </c:ext>
                </c:extLst>
              </c15:ser>
            </c15:filteredBarSeries>
          </c:ext>
        </c:extLst>
      </c:barChart>
      <c:catAx>
        <c:axId val="454979920"/>
        <c:scaling>
          <c:orientation val="minMax"/>
        </c:scaling>
        <c:delete val="0"/>
        <c:axPos val="b"/>
        <c:numFmt formatCode="0" sourceLinked="1"/>
        <c:majorTickMark val="out"/>
        <c:minorTickMark val="none"/>
        <c:tickLblPos val="low"/>
        <c:spPr>
          <a:noFill/>
          <a:ln w="9525" cap="flat" cmpd="sng" algn="ctr">
            <a:solidFill>
              <a:srgbClr val="868686"/>
            </a:solidFill>
            <a:round/>
          </a:ln>
          <a:effectLst/>
        </c:spPr>
        <c:txPr>
          <a:bodyPr rot="-60000000" spcFirstLastPara="1" vertOverflow="ellipsis" vert="horz" wrap="square" anchor="ctr" anchorCtr="1"/>
          <a:lstStyle/>
          <a:p>
            <a:pPr>
              <a:defRPr sz="900" b="0" i="0" u="none" strike="noStrike" kern="1200" baseline="0">
                <a:solidFill>
                  <a:srgbClr val="415464"/>
                </a:solidFill>
                <a:latin typeface="Arial"/>
                <a:ea typeface="Arial"/>
                <a:cs typeface="Arial"/>
              </a:defRPr>
            </a:pPr>
            <a:endParaRPr lang="cs-CZ"/>
          </a:p>
        </c:txPr>
        <c:crossAx val="454982664"/>
        <c:crosses val="autoZero"/>
        <c:auto val="1"/>
        <c:lblAlgn val="ctr"/>
        <c:lblOffset val="100"/>
        <c:noMultiLvlLbl val="0"/>
      </c:catAx>
      <c:valAx>
        <c:axId val="454982664"/>
        <c:scaling>
          <c:orientation val="minMax"/>
        </c:scaling>
        <c:delete val="0"/>
        <c:axPos val="l"/>
        <c:numFmt formatCode="0.0" sourceLinked="1"/>
        <c:majorTickMark val="out"/>
        <c:minorTickMark val="none"/>
        <c:tickLblPos val="nextTo"/>
        <c:spPr>
          <a:noFill/>
          <a:ln>
            <a:solidFill>
              <a:srgbClr val="868686"/>
            </a:solidFill>
          </a:ln>
          <a:effectLst/>
        </c:spPr>
        <c:txPr>
          <a:bodyPr rot="-60000000" spcFirstLastPara="1" vertOverflow="ellipsis" vert="horz" wrap="square" anchor="ctr" anchorCtr="1"/>
          <a:lstStyle/>
          <a:p>
            <a:pPr>
              <a:defRPr sz="900" b="0" i="0" u="none" strike="noStrike" kern="1200" baseline="0">
                <a:solidFill>
                  <a:srgbClr val="415464"/>
                </a:solidFill>
                <a:latin typeface="Arial"/>
                <a:ea typeface="Arial"/>
                <a:cs typeface="Arial"/>
              </a:defRPr>
            </a:pPr>
            <a:endParaRPr lang="cs-CZ"/>
          </a:p>
        </c:txPr>
        <c:crossAx val="454979920"/>
        <c:crosses val="autoZero"/>
        <c:crossBetween val="between"/>
      </c:valAx>
      <c:spPr>
        <a:noFill/>
        <a:ln>
          <a:noFill/>
        </a:ln>
        <a:effectLst/>
        <a:extLst/>
      </c:spPr>
    </c:plotArea>
    <c:plotVisOnly val="1"/>
    <c:dispBlanksAs val="gap"/>
    <c:showDLblsOverMax val="0"/>
  </c:chart>
  <c:spPr>
    <a:noFill/>
    <a:ln w="9525" cap="flat" cmpd="sng" algn="ctr">
      <a:noFill/>
      <a:round/>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txPr>
    <a:bodyPr/>
    <a:lstStyle/>
    <a:p>
      <a:pPr>
        <a:defRPr sz="900" b="0">
          <a:solidFill>
            <a:srgbClr val="415464"/>
          </a:solidFill>
          <a:latin typeface="Arial"/>
          <a:ea typeface="Arial"/>
          <a:cs typeface="Arial"/>
        </a:defRPr>
      </a:pPr>
      <a:endParaRPr lang="cs-CZ"/>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71678663929385"/>
          <c:y val="3.9543584867359691E-2"/>
          <c:w val="0.81982883327702849"/>
          <c:h val="0.79050716353807193"/>
        </c:manualLayout>
      </c:layout>
      <c:areaChart>
        <c:grouping val="stacked"/>
        <c:varyColors val="0"/>
        <c:ser>
          <c:idx val="0"/>
          <c:order val="0"/>
          <c:tx>
            <c:strRef>
              <c:f>Sheet1!$P$4</c:f>
              <c:strCache>
                <c:ptCount val="1"/>
                <c:pt idx="0">
                  <c:v>Under 14</c:v>
                </c:pt>
              </c:strCache>
            </c:strRef>
          </c:tx>
          <c:spPr>
            <a:solidFill>
              <a:srgbClr val="7EBCE1"/>
            </a:solidFill>
            <a:ln>
              <a:noFill/>
            </a:ln>
            <a:effectLst/>
          </c:spPr>
          <c:cat>
            <c:numRef>
              <c:f>Sheet1!$O$5:$O$35</c:f>
              <c:numCache>
                <c:formatCode>General</c:formatCode>
                <c:ptCount val="31"/>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2015</c:v>
                </c:pt>
                <c:pt idx="14">
                  <c:v>2020</c:v>
                </c:pt>
                <c:pt idx="15">
                  <c:v>2025</c:v>
                </c:pt>
                <c:pt idx="16">
                  <c:v>2030</c:v>
                </c:pt>
                <c:pt idx="17">
                  <c:v>2035</c:v>
                </c:pt>
                <c:pt idx="18">
                  <c:v>2040</c:v>
                </c:pt>
                <c:pt idx="19">
                  <c:v>2045</c:v>
                </c:pt>
                <c:pt idx="20">
                  <c:v>2050</c:v>
                </c:pt>
                <c:pt idx="21">
                  <c:v>2055</c:v>
                </c:pt>
                <c:pt idx="22">
                  <c:v>2060</c:v>
                </c:pt>
                <c:pt idx="23">
                  <c:v>2065</c:v>
                </c:pt>
                <c:pt idx="24">
                  <c:v>2070</c:v>
                </c:pt>
                <c:pt idx="25">
                  <c:v>2075</c:v>
                </c:pt>
                <c:pt idx="26">
                  <c:v>2080</c:v>
                </c:pt>
                <c:pt idx="27">
                  <c:v>2085</c:v>
                </c:pt>
                <c:pt idx="28">
                  <c:v>2090</c:v>
                </c:pt>
                <c:pt idx="29">
                  <c:v>2095</c:v>
                </c:pt>
                <c:pt idx="30">
                  <c:v>2100</c:v>
                </c:pt>
              </c:numCache>
            </c:numRef>
          </c:cat>
          <c:val>
            <c:numRef>
              <c:f>Sheet1!$P$5:$P$35</c:f>
              <c:numCache>
                <c:formatCode>0.0</c:formatCode>
                <c:ptCount val="31"/>
                <c:pt idx="0">
                  <c:v>0.86960866199999998</c:v>
                </c:pt>
                <c:pt idx="1">
                  <c:v>0.98662307499999991</c:v>
                </c:pt>
                <c:pt idx="2">
                  <c:v>1.1276391719999999</c:v>
                </c:pt>
                <c:pt idx="3">
                  <c:v>1.2663783119999998</c:v>
                </c:pt>
                <c:pt idx="4">
                  <c:v>1.3891425659999999</c:v>
                </c:pt>
                <c:pt idx="5">
                  <c:v>1.5031155759999999</c:v>
                </c:pt>
                <c:pt idx="6">
                  <c:v>1.5749814289999999</c:v>
                </c:pt>
                <c:pt idx="7">
                  <c:v>1.645354636</c:v>
                </c:pt>
                <c:pt idx="8">
                  <c:v>1.748100582</c:v>
                </c:pt>
                <c:pt idx="9">
                  <c:v>1.822873988</c:v>
                </c:pt>
                <c:pt idx="10">
                  <c:v>1.8513184789999999</c:v>
                </c:pt>
                <c:pt idx="11">
                  <c:v>1.8410533760000001</c:v>
                </c:pt>
                <c:pt idx="12">
                  <c:v>1.8765413000000009</c:v>
                </c:pt>
                <c:pt idx="13">
                  <c:v>1.9313257909999999</c:v>
                </c:pt>
                <c:pt idx="14">
                  <c:v>1.9836485720000001</c:v>
                </c:pt>
                <c:pt idx="15">
                  <c:v>2.0110521760000002</c:v>
                </c:pt>
                <c:pt idx="16">
                  <c:v>2.0194623460000014</c:v>
                </c:pt>
                <c:pt idx="17">
                  <c:v>2.0233984699999996</c:v>
                </c:pt>
                <c:pt idx="18">
                  <c:v>2.0329808549999977</c:v>
                </c:pt>
                <c:pt idx="19">
                  <c:v>2.0459192809999998</c:v>
                </c:pt>
                <c:pt idx="20">
                  <c:v>2.0556588119999999</c:v>
                </c:pt>
                <c:pt idx="21">
                  <c:v>2.0587764650000002</c:v>
                </c:pt>
                <c:pt idx="22">
                  <c:v>2.0534879070000001</c:v>
                </c:pt>
                <c:pt idx="23">
                  <c:v>2.0428646749999988</c:v>
                </c:pt>
                <c:pt idx="24">
                  <c:v>2.0290448580000002</c:v>
                </c:pt>
                <c:pt idx="25">
                  <c:v>2.0141877910000012</c:v>
                </c:pt>
                <c:pt idx="26">
                  <c:v>1.9976983949999989</c:v>
                </c:pt>
                <c:pt idx="27">
                  <c:v>1.9782868339999991</c:v>
                </c:pt>
                <c:pt idx="28">
                  <c:v>1.9548927000000011</c:v>
                </c:pt>
                <c:pt idx="29">
                  <c:v>1.9274044909999999</c:v>
                </c:pt>
                <c:pt idx="30">
                  <c:v>1.8976167199999998</c:v>
                </c:pt>
              </c:numCache>
            </c:numRef>
          </c:val>
          <c:extLst xmlns:c16r2="http://schemas.microsoft.com/office/drawing/2015/06/chart">
            <c:ext xmlns:c16="http://schemas.microsoft.com/office/drawing/2014/chart" uri="{C3380CC4-5D6E-409C-BE32-E72D297353CC}">
              <c16:uniqueId val="{00000000-E99A-47EF-BD1A-7EC22D107D6A}"/>
            </c:ext>
          </c:extLst>
        </c:ser>
        <c:ser>
          <c:idx val="1"/>
          <c:order val="1"/>
          <c:tx>
            <c:strRef>
              <c:f>Sheet1!$Q$4</c:f>
              <c:strCache>
                <c:ptCount val="1"/>
                <c:pt idx="0">
                  <c:v>15-24</c:v>
                </c:pt>
              </c:strCache>
            </c:strRef>
          </c:tx>
          <c:spPr>
            <a:solidFill>
              <a:srgbClr val="BADEFA"/>
            </a:solidFill>
            <a:ln>
              <a:noFill/>
            </a:ln>
            <a:effectLst/>
          </c:spPr>
          <c:cat>
            <c:numRef>
              <c:f>Sheet1!$O$5:$O$35</c:f>
              <c:numCache>
                <c:formatCode>General</c:formatCode>
                <c:ptCount val="31"/>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2015</c:v>
                </c:pt>
                <c:pt idx="14">
                  <c:v>2020</c:v>
                </c:pt>
                <c:pt idx="15">
                  <c:v>2025</c:v>
                </c:pt>
                <c:pt idx="16">
                  <c:v>2030</c:v>
                </c:pt>
                <c:pt idx="17">
                  <c:v>2035</c:v>
                </c:pt>
                <c:pt idx="18">
                  <c:v>2040</c:v>
                </c:pt>
                <c:pt idx="19">
                  <c:v>2045</c:v>
                </c:pt>
                <c:pt idx="20">
                  <c:v>2050</c:v>
                </c:pt>
                <c:pt idx="21">
                  <c:v>2055</c:v>
                </c:pt>
                <c:pt idx="22">
                  <c:v>2060</c:v>
                </c:pt>
                <c:pt idx="23">
                  <c:v>2065</c:v>
                </c:pt>
                <c:pt idx="24">
                  <c:v>2070</c:v>
                </c:pt>
                <c:pt idx="25">
                  <c:v>2075</c:v>
                </c:pt>
                <c:pt idx="26">
                  <c:v>2080</c:v>
                </c:pt>
                <c:pt idx="27">
                  <c:v>2085</c:v>
                </c:pt>
                <c:pt idx="28">
                  <c:v>2090</c:v>
                </c:pt>
                <c:pt idx="29">
                  <c:v>2095</c:v>
                </c:pt>
                <c:pt idx="30">
                  <c:v>2100</c:v>
                </c:pt>
              </c:numCache>
            </c:numRef>
          </c:cat>
          <c:val>
            <c:numRef>
              <c:f>Sheet1!$Q$5:$Q$35</c:f>
              <c:numCache>
                <c:formatCode>0.0</c:formatCode>
                <c:ptCount val="31"/>
                <c:pt idx="0">
                  <c:v>0.46238398699999994</c:v>
                </c:pt>
                <c:pt idx="1">
                  <c:v>0.48800761599999998</c:v>
                </c:pt>
                <c:pt idx="2">
                  <c:v>0.506969157</c:v>
                </c:pt>
                <c:pt idx="3">
                  <c:v>0.55660425399999991</c:v>
                </c:pt>
                <c:pt idx="4">
                  <c:v>0.66931958700000005</c:v>
                </c:pt>
                <c:pt idx="5">
                  <c:v>0.76504599699999998</c:v>
                </c:pt>
                <c:pt idx="6">
                  <c:v>0.84481801799999989</c:v>
                </c:pt>
                <c:pt idx="7">
                  <c:v>0.94059754399999995</c:v>
                </c:pt>
                <c:pt idx="8">
                  <c:v>1.0090427150000001</c:v>
                </c:pt>
                <c:pt idx="9">
                  <c:v>1.0357375200000001</c:v>
                </c:pt>
                <c:pt idx="10">
                  <c:v>1.0854316439999998</c:v>
                </c:pt>
                <c:pt idx="11">
                  <c:v>1.1827114999999999</c:v>
                </c:pt>
                <c:pt idx="12">
                  <c:v>1.215716885</c:v>
                </c:pt>
                <c:pt idx="13">
                  <c:v>1.1992066459999999</c:v>
                </c:pt>
                <c:pt idx="14">
                  <c:v>1.209583665</c:v>
                </c:pt>
                <c:pt idx="15">
                  <c:v>1.2467426430000002</c:v>
                </c:pt>
                <c:pt idx="16">
                  <c:v>1.2938769159999999</c:v>
                </c:pt>
                <c:pt idx="17">
                  <c:v>1.3238067259999999</c:v>
                </c:pt>
                <c:pt idx="18">
                  <c:v>1.3322412459999999</c:v>
                </c:pt>
                <c:pt idx="19">
                  <c:v>1.332891593</c:v>
                </c:pt>
                <c:pt idx="20">
                  <c:v>1.338496849</c:v>
                </c:pt>
                <c:pt idx="21">
                  <c:v>1.348035474999999</c:v>
                </c:pt>
                <c:pt idx="22">
                  <c:v>1.3576002620000001</c:v>
                </c:pt>
                <c:pt idx="23">
                  <c:v>1.3633229860000009</c:v>
                </c:pt>
                <c:pt idx="24">
                  <c:v>1.362950858</c:v>
                </c:pt>
                <c:pt idx="25">
                  <c:v>1.357385332999999</c:v>
                </c:pt>
                <c:pt idx="26">
                  <c:v>1.3492676250000009</c:v>
                </c:pt>
                <c:pt idx="27">
                  <c:v>1.340245841</c:v>
                </c:pt>
                <c:pt idx="28">
                  <c:v>1.330342967</c:v>
                </c:pt>
                <c:pt idx="29">
                  <c:v>1.319462069000001</c:v>
                </c:pt>
                <c:pt idx="30">
                  <c:v>1.3058134350000001</c:v>
                </c:pt>
              </c:numCache>
            </c:numRef>
          </c:val>
          <c:extLst xmlns:c16r2="http://schemas.microsoft.com/office/drawing/2015/06/chart">
            <c:ext xmlns:c16="http://schemas.microsoft.com/office/drawing/2014/chart" uri="{C3380CC4-5D6E-409C-BE32-E72D297353CC}">
              <c16:uniqueId val="{00000001-E99A-47EF-BD1A-7EC22D107D6A}"/>
            </c:ext>
          </c:extLst>
        </c:ser>
        <c:ser>
          <c:idx val="2"/>
          <c:order val="2"/>
          <c:tx>
            <c:strRef>
              <c:f>Sheet1!$R$4</c:f>
              <c:strCache>
                <c:ptCount val="1"/>
                <c:pt idx="0">
                  <c:v>25-34</c:v>
                </c:pt>
              </c:strCache>
            </c:strRef>
          </c:tx>
          <c:spPr>
            <a:solidFill>
              <a:srgbClr val="927865"/>
            </a:solidFill>
            <a:ln>
              <a:noFill/>
            </a:ln>
            <a:effectLst/>
          </c:spPr>
          <c:cat>
            <c:numRef>
              <c:f>Sheet1!$O$5:$O$35</c:f>
              <c:numCache>
                <c:formatCode>General</c:formatCode>
                <c:ptCount val="31"/>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2015</c:v>
                </c:pt>
                <c:pt idx="14">
                  <c:v>2020</c:v>
                </c:pt>
                <c:pt idx="15">
                  <c:v>2025</c:v>
                </c:pt>
                <c:pt idx="16">
                  <c:v>2030</c:v>
                </c:pt>
                <c:pt idx="17">
                  <c:v>2035</c:v>
                </c:pt>
                <c:pt idx="18">
                  <c:v>2040</c:v>
                </c:pt>
                <c:pt idx="19">
                  <c:v>2045</c:v>
                </c:pt>
                <c:pt idx="20">
                  <c:v>2050</c:v>
                </c:pt>
                <c:pt idx="21">
                  <c:v>2055</c:v>
                </c:pt>
                <c:pt idx="22">
                  <c:v>2060</c:v>
                </c:pt>
                <c:pt idx="23">
                  <c:v>2065</c:v>
                </c:pt>
                <c:pt idx="24">
                  <c:v>2070</c:v>
                </c:pt>
                <c:pt idx="25">
                  <c:v>2075</c:v>
                </c:pt>
                <c:pt idx="26">
                  <c:v>2080</c:v>
                </c:pt>
                <c:pt idx="27">
                  <c:v>2085</c:v>
                </c:pt>
                <c:pt idx="28">
                  <c:v>2090</c:v>
                </c:pt>
                <c:pt idx="29">
                  <c:v>2095</c:v>
                </c:pt>
                <c:pt idx="30">
                  <c:v>2100</c:v>
                </c:pt>
              </c:numCache>
            </c:numRef>
          </c:cat>
          <c:val>
            <c:numRef>
              <c:f>Sheet1!$R$5:$R$35</c:f>
              <c:numCache>
                <c:formatCode>0.0</c:formatCode>
                <c:ptCount val="31"/>
                <c:pt idx="0">
                  <c:v>0.365399419</c:v>
                </c:pt>
                <c:pt idx="1">
                  <c:v>0.40526225199999999</c:v>
                </c:pt>
                <c:pt idx="2">
                  <c:v>0.43632854700000001</c:v>
                </c:pt>
                <c:pt idx="3">
                  <c:v>0.46387660399999997</c:v>
                </c:pt>
                <c:pt idx="4">
                  <c:v>0.48544016700000003</c:v>
                </c:pt>
                <c:pt idx="5">
                  <c:v>0.53770308300000003</c:v>
                </c:pt>
                <c:pt idx="6">
                  <c:v>0.649261482</c:v>
                </c:pt>
                <c:pt idx="7">
                  <c:v>0.74532427400000001</c:v>
                </c:pt>
                <c:pt idx="8">
                  <c:v>0.82410163599999997</c:v>
                </c:pt>
                <c:pt idx="9">
                  <c:v>0.91748481100000001</c:v>
                </c:pt>
                <c:pt idx="10">
                  <c:v>0.98346948099999998</c:v>
                </c:pt>
                <c:pt idx="11">
                  <c:v>1.011020239</c:v>
                </c:pt>
                <c:pt idx="12">
                  <c:v>1.0615008160000001</c:v>
                </c:pt>
                <c:pt idx="13">
                  <c:v>1.1595001260000002</c:v>
                </c:pt>
                <c:pt idx="14">
                  <c:v>1.2002228739999989</c:v>
                </c:pt>
                <c:pt idx="15">
                  <c:v>1.185075638</c:v>
                </c:pt>
                <c:pt idx="16">
                  <c:v>1.195951601</c:v>
                </c:pt>
                <c:pt idx="17">
                  <c:v>1.2339875269999991</c:v>
                </c:pt>
                <c:pt idx="18">
                  <c:v>1.2815968640000002</c:v>
                </c:pt>
                <c:pt idx="19">
                  <c:v>1.3116542439999999</c:v>
                </c:pt>
                <c:pt idx="20">
                  <c:v>1.3203229479999998</c:v>
                </c:pt>
                <c:pt idx="21">
                  <c:v>1.321411401</c:v>
                </c:pt>
                <c:pt idx="22">
                  <c:v>1.327591916999999</c:v>
                </c:pt>
                <c:pt idx="23">
                  <c:v>1.337685311</c:v>
                </c:pt>
                <c:pt idx="24">
                  <c:v>1.3478054610000001</c:v>
                </c:pt>
                <c:pt idx="25">
                  <c:v>1.3540922879999999</c:v>
                </c:pt>
                <c:pt idx="26">
                  <c:v>1.35428704</c:v>
                </c:pt>
                <c:pt idx="27">
                  <c:v>1.3492811979999999</c:v>
                </c:pt>
                <c:pt idx="28">
                  <c:v>1.3417162600000001</c:v>
                </c:pt>
                <c:pt idx="29">
                  <c:v>1.3332346570000002</c:v>
                </c:pt>
                <c:pt idx="30">
                  <c:v>1.3238637209999999</c:v>
                </c:pt>
              </c:numCache>
            </c:numRef>
          </c:val>
          <c:extLst xmlns:c16r2="http://schemas.microsoft.com/office/drawing/2015/06/chart">
            <c:ext xmlns:c16="http://schemas.microsoft.com/office/drawing/2014/chart" uri="{C3380CC4-5D6E-409C-BE32-E72D297353CC}">
              <c16:uniqueId val="{00000002-E99A-47EF-BD1A-7EC22D107D6A}"/>
            </c:ext>
          </c:extLst>
        </c:ser>
        <c:ser>
          <c:idx val="3"/>
          <c:order val="3"/>
          <c:tx>
            <c:strRef>
              <c:f>Sheet1!$S$4</c:f>
              <c:strCache>
                <c:ptCount val="1"/>
                <c:pt idx="0">
                  <c:v>35-44</c:v>
                </c:pt>
              </c:strCache>
            </c:strRef>
          </c:tx>
          <c:spPr>
            <a:solidFill>
              <a:schemeClr val="accent6"/>
            </a:solidFill>
            <a:ln>
              <a:noFill/>
            </a:ln>
            <a:effectLst/>
          </c:spPr>
          <c:cat>
            <c:numRef>
              <c:f>Sheet1!$O$5:$O$35</c:f>
              <c:numCache>
                <c:formatCode>General</c:formatCode>
                <c:ptCount val="31"/>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2015</c:v>
                </c:pt>
                <c:pt idx="14">
                  <c:v>2020</c:v>
                </c:pt>
                <c:pt idx="15">
                  <c:v>2025</c:v>
                </c:pt>
                <c:pt idx="16">
                  <c:v>2030</c:v>
                </c:pt>
                <c:pt idx="17">
                  <c:v>2035</c:v>
                </c:pt>
                <c:pt idx="18">
                  <c:v>2040</c:v>
                </c:pt>
                <c:pt idx="19">
                  <c:v>2045</c:v>
                </c:pt>
                <c:pt idx="20">
                  <c:v>2050</c:v>
                </c:pt>
                <c:pt idx="21">
                  <c:v>2055</c:v>
                </c:pt>
                <c:pt idx="22">
                  <c:v>2060</c:v>
                </c:pt>
                <c:pt idx="23">
                  <c:v>2065</c:v>
                </c:pt>
                <c:pt idx="24">
                  <c:v>2070</c:v>
                </c:pt>
                <c:pt idx="25">
                  <c:v>2075</c:v>
                </c:pt>
                <c:pt idx="26">
                  <c:v>2080</c:v>
                </c:pt>
                <c:pt idx="27">
                  <c:v>2085</c:v>
                </c:pt>
                <c:pt idx="28">
                  <c:v>2090</c:v>
                </c:pt>
                <c:pt idx="29">
                  <c:v>2095</c:v>
                </c:pt>
                <c:pt idx="30">
                  <c:v>2100</c:v>
                </c:pt>
              </c:numCache>
            </c:numRef>
          </c:cat>
          <c:val>
            <c:numRef>
              <c:f>Sheet1!$S$5:$S$35</c:f>
              <c:numCache>
                <c:formatCode>0.0</c:formatCode>
                <c:ptCount val="31"/>
                <c:pt idx="0">
                  <c:v>0.31203581700000005</c:v>
                </c:pt>
                <c:pt idx="1">
                  <c:v>0.319543146</c:v>
                </c:pt>
                <c:pt idx="2">
                  <c:v>0.33845777500000002</c:v>
                </c:pt>
                <c:pt idx="3">
                  <c:v>0.37963050500000001</c:v>
                </c:pt>
                <c:pt idx="4">
                  <c:v>0.41229520199999997</c:v>
                </c:pt>
                <c:pt idx="5">
                  <c:v>0.44335678099999998</c:v>
                </c:pt>
                <c:pt idx="6">
                  <c:v>0.46689791099999994</c:v>
                </c:pt>
                <c:pt idx="7">
                  <c:v>0.51942224699999995</c:v>
                </c:pt>
                <c:pt idx="8">
                  <c:v>0.630686949</c:v>
                </c:pt>
                <c:pt idx="9">
                  <c:v>0.72467693500000008</c:v>
                </c:pt>
                <c:pt idx="10">
                  <c:v>0.801889505</c:v>
                </c:pt>
                <c:pt idx="11">
                  <c:v>0.89273561599999995</c:v>
                </c:pt>
                <c:pt idx="12">
                  <c:v>0.95953801300000008</c:v>
                </c:pt>
                <c:pt idx="13">
                  <c:v>0.98821277099999993</c:v>
                </c:pt>
                <c:pt idx="14">
                  <c:v>1.038607735</c:v>
                </c:pt>
                <c:pt idx="15">
                  <c:v>1.1370292440000001</c:v>
                </c:pt>
                <c:pt idx="16">
                  <c:v>1.1768691440000001</c:v>
                </c:pt>
                <c:pt idx="17">
                  <c:v>1.162424699</c:v>
                </c:pt>
                <c:pt idx="18">
                  <c:v>1.1741594399999999</c:v>
                </c:pt>
                <c:pt idx="19">
                  <c:v>1.212688013</c:v>
                </c:pt>
                <c:pt idx="20">
                  <c:v>1.2606855239999999</c:v>
                </c:pt>
                <c:pt idx="21">
                  <c:v>1.291260112</c:v>
                </c:pt>
                <c:pt idx="22">
                  <c:v>1.3006672000000001</c:v>
                </c:pt>
                <c:pt idx="23">
                  <c:v>1.3025051129999998</c:v>
                </c:pt>
                <c:pt idx="24">
                  <c:v>1.3093896570000001</c:v>
                </c:pt>
                <c:pt idx="25">
                  <c:v>1.3201801779999998</c:v>
                </c:pt>
                <c:pt idx="26">
                  <c:v>1.331019245</c:v>
                </c:pt>
                <c:pt idx="27">
                  <c:v>1.3380522620000002</c:v>
                </c:pt>
                <c:pt idx="28">
                  <c:v>1.3390197930000001</c:v>
                </c:pt>
                <c:pt idx="29">
                  <c:v>1.3348031710000001</c:v>
                </c:pt>
                <c:pt idx="30">
                  <c:v>1.328028687</c:v>
                </c:pt>
              </c:numCache>
            </c:numRef>
          </c:val>
          <c:extLst xmlns:c16r2="http://schemas.microsoft.com/office/drawing/2015/06/chart">
            <c:ext xmlns:c16="http://schemas.microsoft.com/office/drawing/2014/chart" uri="{C3380CC4-5D6E-409C-BE32-E72D297353CC}">
              <c16:uniqueId val="{00000003-E99A-47EF-BD1A-7EC22D107D6A}"/>
            </c:ext>
          </c:extLst>
        </c:ser>
        <c:ser>
          <c:idx val="4"/>
          <c:order val="4"/>
          <c:tx>
            <c:strRef>
              <c:f>Sheet1!$T$4</c:f>
              <c:strCache>
                <c:ptCount val="1"/>
                <c:pt idx="0">
                  <c:v>45-54</c:v>
                </c:pt>
              </c:strCache>
            </c:strRef>
          </c:tx>
          <c:spPr>
            <a:solidFill>
              <a:srgbClr val="408640"/>
            </a:solidFill>
            <a:ln>
              <a:noFill/>
            </a:ln>
            <a:effectLst/>
          </c:spPr>
          <c:cat>
            <c:numRef>
              <c:f>Sheet1!$O$5:$O$35</c:f>
              <c:numCache>
                <c:formatCode>General</c:formatCode>
                <c:ptCount val="31"/>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2015</c:v>
                </c:pt>
                <c:pt idx="14">
                  <c:v>2020</c:v>
                </c:pt>
                <c:pt idx="15">
                  <c:v>2025</c:v>
                </c:pt>
                <c:pt idx="16">
                  <c:v>2030</c:v>
                </c:pt>
                <c:pt idx="17">
                  <c:v>2035</c:v>
                </c:pt>
                <c:pt idx="18">
                  <c:v>2040</c:v>
                </c:pt>
                <c:pt idx="19">
                  <c:v>2045</c:v>
                </c:pt>
                <c:pt idx="20">
                  <c:v>2050</c:v>
                </c:pt>
                <c:pt idx="21">
                  <c:v>2055</c:v>
                </c:pt>
                <c:pt idx="22">
                  <c:v>2060</c:v>
                </c:pt>
                <c:pt idx="23">
                  <c:v>2065</c:v>
                </c:pt>
                <c:pt idx="24">
                  <c:v>2070</c:v>
                </c:pt>
                <c:pt idx="25">
                  <c:v>2075</c:v>
                </c:pt>
                <c:pt idx="26">
                  <c:v>2080</c:v>
                </c:pt>
                <c:pt idx="27">
                  <c:v>2085</c:v>
                </c:pt>
                <c:pt idx="28">
                  <c:v>2090</c:v>
                </c:pt>
                <c:pt idx="29">
                  <c:v>2095</c:v>
                </c:pt>
                <c:pt idx="30">
                  <c:v>2100</c:v>
                </c:pt>
              </c:numCache>
            </c:numRef>
          </c:cat>
          <c:val>
            <c:numRef>
              <c:f>Sheet1!$T$5:$T$35</c:f>
              <c:numCache>
                <c:formatCode>0.0</c:formatCode>
                <c:ptCount val="31"/>
                <c:pt idx="0">
                  <c:v>0.236172568</c:v>
                </c:pt>
                <c:pt idx="1">
                  <c:v>0.25902506800000002</c:v>
                </c:pt>
                <c:pt idx="2">
                  <c:v>0.27957485399999998</c:v>
                </c:pt>
                <c:pt idx="3">
                  <c:v>0.287960997</c:v>
                </c:pt>
                <c:pt idx="4">
                  <c:v>0.3096392</c:v>
                </c:pt>
                <c:pt idx="5">
                  <c:v>0.35347150800000005</c:v>
                </c:pt>
                <c:pt idx="6">
                  <c:v>0.38661041899999998</c:v>
                </c:pt>
                <c:pt idx="7">
                  <c:v>0.41742300199999999</c:v>
                </c:pt>
                <c:pt idx="8">
                  <c:v>0.44190836100000003</c:v>
                </c:pt>
                <c:pt idx="9">
                  <c:v>0.49389269799999996</c:v>
                </c:pt>
                <c:pt idx="10">
                  <c:v>0.60098517399999996</c:v>
                </c:pt>
                <c:pt idx="11">
                  <c:v>0.69002711400000005</c:v>
                </c:pt>
                <c:pt idx="12">
                  <c:v>0.76753244700000001</c:v>
                </c:pt>
                <c:pt idx="13">
                  <c:v>0.85900939500000006</c:v>
                </c:pt>
                <c:pt idx="14">
                  <c:v>0.92513883600000002</c:v>
                </c:pt>
                <c:pt idx="15">
                  <c:v>0.953227461</c:v>
                </c:pt>
                <c:pt idx="16">
                  <c:v>1.002378773</c:v>
                </c:pt>
                <c:pt idx="17">
                  <c:v>1.0992635789999998</c:v>
                </c:pt>
                <c:pt idx="18">
                  <c:v>1.1391841110000001</c:v>
                </c:pt>
                <c:pt idx="19">
                  <c:v>1.1262936150000002</c:v>
                </c:pt>
                <c:pt idx="20">
                  <c:v>1.1390434950000001</c:v>
                </c:pt>
                <c:pt idx="21">
                  <c:v>1.1779391910000001</c:v>
                </c:pt>
                <c:pt idx="22">
                  <c:v>1.2261544960000001</c:v>
                </c:pt>
                <c:pt idx="23">
                  <c:v>1.2574140469999999</c:v>
                </c:pt>
                <c:pt idx="24">
                  <c:v>1.2678499360000008</c:v>
                </c:pt>
                <c:pt idx="25">
                  <c:v>1.2707925009999999</c:v>
                </c:pt>
                <c:pt idx="26">
                  <c:v>1.278730897</c:v>
                </c:pt>
                <c:pt idx="27">
                  <c:v>1.2905639660000001</c:v>
                </c:pt>
                <c:pt idx="28">
                  <c:v>1.302493195</c:v>
                </c:pt>
                <c:pt idx="29">
                  <c:v>1.3106876750000009</c:v>
                </c:pt>
                <c:pt idx="30">
                  <c:v>1.3128883450000002</c:v>
                </c:pt>
              </c:numCache>
            </c:numRef>
          </c:val>
          <c:extLst xmlns:c16r2="http://schemas.microsoft.com/office/drawing/2015/06/chart">
            <c:ext xmlns:c16="http://schemas.microsoft.com/office/drawing/2014/chart" uri="{C3380CC4-5D6E-409C-BE32-E72D297353CC}">
              <c16:uniqueId val="{00000004-E99A-47EF-BD1A-7EC22D107D6A}"/>
            </c:ext>
          </c:extLst>
        </c:ser>
        <c:ser>
          <c:idx val="5"/>
          <c:order val="5"/>
          <c:tx>
            <c:strRef>
              <c:f>Sheet1!$U$4</c:f>
              <c:strCache>
                <c:ptCount val="1"/>
                <c:pt idx="0">
                  <c:v>55-64</c:v>
                </c:pt>
              </c:strCache>
            </c:strRef>
          </c:tx>
          <c:spPr>
            <a:solidFill>
              <a:schemeClr val="tx1">
                <a:lumMod val="60000"/>
                <a:lumOff val="40000"/>
              </a:schemeClr>
            </a:solidFill>
            <a:ln>
              <a:noFill/>
            </a:ln>
            <a:effectLst/>
          </c:spPr>
          <c:cat>
            <c:numRef>
              <c:f>Sheet1!$O$5:$O$35</c:f>
              <c:numCache>
                <c:formatCode>General</c:formatCode>
                <c:ptCount val="31"/>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2015</c:v>
                </c:pt>
                <c:pt idx="14">
                  <c:v>2020</c:v>
                </c:pt>
                <c:pt idx="15">
                  <c:v>2025</c:v>
                </c:pt>
                <c:pt idx="16">
                  <c:v>2030</c:v>
                </c:pt>
                <c:pt idx="17">
                  <c:v>2035</c:v>
                </c:pt>
                <c:pt idx="18">
                  <c:v>2040</c:v>
                </c:pt>
                <c:pt idx="19">
                  <c:v>2045</c:v>
                </c:pt>
                <c:pt idx="20">
                  <c:v>2050</c:v>
                </c:pt>
                <c:pt idx="21">
                  <c:v>2055</c:v>
                </c:pt>
                <c:pt idx="22">
                  <c:v>2060</c:v>
                </c:pt>
                <c:pt idx="23">
                  <c:v>2065</c:v>
                </c:pt>
                <c:pt idx="24">
                  <c:v>2070</c:v>
                </c:pt>
                <c:pt idx="25">
                  <c:v>2075</c:v>
                </c:pt>
                <c:pt idx="26">
                  <c:v>2080</c:v>
                </c:pt>
                <c:pt idx="27">
                  <c:v>2085</c:v>
                </c:pt>
                <c:pt idx="28">
                  <c:v>2090</c:v>
                </c:pt>
                <c:pt idx="29">
                  <c:v>2095</c:v>
                </c:pt>
                <c:pt idx="30">
                  <c:v>2100</c:v>
                </c:pt>
              </c:numCache>
            </c:numRef>
          </c:cat>
          <c:val>
            <c:numRef>
              <c:f>Sheet1!$U$5:$U$35</c:f>
              <c:numCache>
                <c:formatCode>0.0</c:formatCode>
                <c:ptCount val="31"/>
                <c:pt idx="0">
                  <c:v>0.16212183900000002</c:v>
                </c:pt>
                <c:pt idx="1">
                  <c:v>0.1747307639999999</c:v>
                </c:pt>
                <c:pt idx="2">
                  <c:v>0.19482654699999999</c:v>
                </c:pt>
                <c:pt idx="3">
                  <c:v>0.216204644</c:v>
                </c:pt>
                <c:pt idx="4">
                  <c:v>0.23838564500000001</c:v>
                </c:pt>
                <c:pt idx="5">
                  <c:v>0.24923588799999999</c:v>
                </c:pt>
                <c:pt idx="6">
                  <c:v>0.27290224000000002</c:v>
                </c:pt>
                <c:pt idx="7">
                  <c:v>0.31355727</c:v>
                </c:pt>
                <c:pt idx="8">
                  <c:v>0.34517994799999996</c:v>
                </c:pt>
                <c:pt idx="9">
                  <c:v>0.374868172</c:v>
                </c:pt>
                <c:pt idx="10">
                  <c:v>0.39819037800000001</c:v>
                </c:pt>
                <c:pt idx="11">
                  <c:v>0.449487525</c:v>
                </c:pt>
                <c:pt idx="12">
                  <c:v>0.54930604799999994</c:v>
                </c:pt>
                <c:pt idx="13">
                  <c:v>0.634994744</c:v>
                </c:pt>
                <c:pt idx="14">
                  <c:v>0.70999076399999994</c:v>
                </c:pt>
                <c:pt idx="15">
                  <c:v>0.79845382099999995</c:v>
                </c:pt>
                <c:pt idx="16">
                  <c:v>0.86246011199999995</c:v>
                </c:pt>
                <c:pt idx="17">
                  <c:v>0.89009650200000101</c:v>
                </c:pt>
                <c:pt idx="18">
                  <c:v>0.93816736699999992</c:v>
                </c:pt>
                <c:pt idx="19">
                  <c:v>1.0323366840000001</c:v>
                </c:pt>
                <c:pt idx="20">
                  <c:v>1.0719741779999998</c:v>
                </c:pt>
                <c:pt idx="21">
                  <c:v>1.0615170889999999</c:v>
                </c:pt>
                <c:pt idx="22">
                  <c:v>1.075549334</c:v>
                </c:pt>
                <c:pt idx="23">
                  <c:v>1.1147787630000001</c:v>
                </c:pt>
                <c:pt idx="24">
                  <c:v>1.1632287299999999</c:v>
                </c:pt>
                <c:pt idx="25">
                  <c:v>1.1956011259999999</c:v>
                </c:pt>
                <c:pt idx="26">
                  <c:v>1.2078311260000001</c:v>
                </c:pt>
                <c:pt idx="27">
                  <c:v>1.2127622120000001</c:v>
                </c:pt>
                <c:pt idx="28">
                  <c:v>1.2225976710000002</c:v>
                </c:pt>
                <c:pt idx="29">
                  <c:v>1.236321529</c:v>
                </c:pt>
                <c:pt idx="30">
                  <c:v>1.2502550750000001</c:v>
                </c:pt>
              </c:numCache>
            </c:numRef>
          </c:val>
          <c:extLst xmlns:c16r2="http://schemas.microsoft.com/office/drawing/2015/06/chart">
            <c:ext xmlns:c16="http://schemas.microsoft.com/office/drawing/2014/chart" uri="{C3380CC4-5D6E-409C-BE32-E72D297353CC}">
              <c16:uniqueId val="{00000005-E99A-47EF-BD1A-7EC22D107D6A}"/>
            </c:ext>
          </c:extLst>
        </c:ser>
        <c:ser>
          <c:idx val="6"/>
          <c:order val="6"/>
          <c:tx>
            <c:strRef>
              <c:f>Sheet1!$V$4</c:f>
              <c:strCache>
                <c:ptCount val="1"/>
                <c:pt idx="0">
                  <c:v>65+</c:v>
                </c:pt>
              </c:strCache>
            </c:strRef>
          </c:tx>
          <c:spPr>
            <a:solidFill>
              <a:srgbClr val="D15F27"/>
            </a:solidFill>
            <a:ln>
              <a:noFill/>
            </a:ln>
            <a:effectLst/>
          </c:spPr>
          <c:cat>
            <c:numRef>
              <c:f>Sheet1!$O$5:$O$35</c:f>
              <c:numCache>
                <c:formatCode>General</c:formatCode>
                <c:ptCount val="31"/>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2015</c:v>
                </c:pt>
                <c:pt idx="14">
                  <c:v>2020</c:v>
                </c:pt>
                <c:pt idx="15">
                  <c:v>2025</c:v>
                </c:pt>
                <c:pt idx="16">
                  <c:v>2030</c:v>
                </c:pt>
                <c:pt idx="17">
                  <c:v>2035</c:v>
                </c:pt>
                <c:pt idx="18">
                  <c:v>2040</c:v>
                </c:pt>
                <c:pt idx="19">
                  <c:v>2045</c:v>
                </c:pt>
                <c:pt idx="20">
                  <c:v>2050</c:v>
                </c:pt>
                <c:pt idx="21">
                  <c:v>2055</c:v>
                </c:pt>
                <c:pt idx="22">
                  <c:v>2060</c:v>
                </c:pt>
                <c:pt idx="23">
                  <c:v>2065</c:v>
                </c:pt>
                <c:pt idx="24">
                  <c:v>2070</c:v>
                </c:pt>
                <c:pt idx="25">
                  <c:v>2075</c:v>
                </c:pt>
                <c:pt idx="26">
                  <c:v>2080</c:v>
                </c:pt>
                <c:pt idx="27">
                  <c:v>2085</c:v>
                </c:pt>
                <c:pt idx="28">
                  <c:v>2090</c:v>
                </c:pt>
                <c:pt idx="29">
                  <c:v>2095</c:v>
                </c:pt>
                <c:pt idx="30">
                  <c:v>2100</c:v>
                </c:pt>
              </c:numCache>
            </c:numRef>
          </c:cat>
          <c:val>
            <c:numRef>
              <c:f>Sheet1!$V$5:$V$35</c:f>
              <c:numCache>
                <c:formatCode>0.0</c:formatCode>
                <c:ptCount val="31"/>
                <c:pt idx="0">
                  <c:v>0.12870885700000001</c:v>
                </c:pt>
                <c:pt idx="1">
                  <c:v>0.13982801499999997</c:v>
                </c:pt>
                <c:pt idx="2">
                  <c:v>0.15115369599999998</c:v>
                </c:pt>
                <c:pt idx="3">
                  <c:v>0.16892828099999999</c:v>
                </c:pt>
                <c:pt idx="4">
                  <c:v>0.196214679</c:v>
                </c:pt>
                <c:pt idx="5">
                  <c:v>0.22755177300000001</c:v>
                </c:pt>
                <c:pt idx="6">
                  <c:v>0.26253201500000001</c:v>
                </c:pt>
                <c:pt idx="7">
                  <c:v>0.28924276700000007</c:v>
                </c:pt>
                <c:pt idx="8">
                  <c:v>0.32821087000000004</c:v>
                </c:pt>
                <c:pt idx="9">
                  <c:v>0.37467885499999998</c:v>
                </c:pt>
                <c:pt idx="10">
                  <c:v>0.42220916200000003</c:v>
                </c:pt>
                <c:pt idx="11">
                  <c:v>0.47487165699999995</c:v>
                </c:pt>
                <c:pt idx="12">
                  <c:v>0.52668809400000005</c:v>
                </c:pt>
                <c:pt idx="13">
                  <c:v>0.6075476660000001</c:v>
                </c:pt>
                <c:pt idx="14">
                  <c:v>0.72760629300000002</c:v>
                </c:pt>
                <c:pt idx="15">
                  <c:v>0.85285647700000011</c:v>
                </c:pt>
                <c:pt idx="16">
                  <c:v>0.99748850799999988</c:v>
                </c:pt>
                <c:pt idx="17">
                  <c:v>1.1545467099999998</c:v>
                </c:pt>
                <c:pt idx="18">
                  <c:v>1.3005173569999999</c:v>
                </c:pt>
                <c:pt idx="19">
                  <c:v>1.420019844</c:v>
                </c:pt>
                <c:pt idx="20">
                  <c:v>1.5488521839999998</c:v>
                </c:pt>
                <c:pt idx="21">
                  <c:v>1.6991543410000001</c:v>
                </c:pt>
                <c:pt idx="22">
                  <c:v>1.8103976450000003</c:v>
                </c:pt>
                <c:pt idx="23">
                  <c:v>1.8992593100000001</c:v>
                </c:pt>
                <c:pt idx="24">
                  <c:v>1.9788830070000005</c:v>
                </c:pt>
                <c:pt idx="25">
                  <c:v>2.0649166720000003</c:v>
                </c:pt>
                <c:pt idx="26">
                  <c:v>2.1548851460000011</c:v>
                </c:pt>
                <c:pt idx="27">
                  <c:v>2.241224426</c:v>
                </c:pt>
                <c:pt idx="28">
                  <c:v>2.3185132159999999</c:v>
                </c:pt>
                <c:pt idx="29">
                  <c:v>2.3895470049999994</c:v>
                </c:pt>
                <c:pt idx="30">
                  <c:v>2.4564363350000002</c:v>
                </c:pt>
              </c:numCache>
            </c:numRef>
          </c:val>
          <c:extLst xmlns:c16r2="http://schemas.microsoft.com/office/drawing/2015/06/chart">
            <c:ext xmlns:c16="http://schemas.microsoft.com/office/drawing/2014/chart" uri="{C3380CC4-5D6E-409C-BE32-E72D297353CC}">
              <c16:uniqueId val="{00000006-E99A-47EF-BD1A-7EC22D107D6A}"/>
            </c:ext>
          </c:extLst>
        </c:ser>
        <c:dLbls>
          <c:showLegendKey val="0"/>
          <c:showVal val="0"/>
          <c:showCatName val="0"/>
          <c:showSerName val="0"/>
          <c:showPercent val="0"/>
          <c:showBubbleSize val="0"/>
        </c:dLbls>
        <c:axId val="454983448"/>
        <c:axId val="454985408"/>
      </c:areaChart>
      <c:catAx>
        <c:axId val="454983448"/>
        <c:scaling>
          <c:orientation val="minMax"/>
        </c:scaling>
        <c:delete val="0"/>
        <c:axPos val="b"/>
        <c:numFmt formatCode="General" sourceLinked="1"/>
        <c:majorTickMark val="out"/>
        <c:minorTickMark val="none"/>
        <c:tickLblPos val="low"/>
        <c:spPr>
          <a:noFill/>
          <a:ln w="9525" cap="flat" cmpd="sng" algn="ctr">
            <a:solidFill>
              <a:srgbClr val="868686"/>
            </a:solidFill>
            <a:round/>
          </a:ln>
          <a:effectLst/>
        </c:spPr>
        <c:txPr>
          <a:bodyPr rot="-5400000" spcFirstLastPara="1" vertOverflow="ellipsis" wrap="square" anchor="ctr" anchorCtr="1"/>
          <a:lstStyle/>
          <a:p>
            <a:pPr>
              <a:defRPr sz="900" b="0" i="0" u="none" strike="noStrike" kern="1200" baseline="0">
                <a:solidFill>
                  <a:srgbClr val="415464"/>
                </a:solidFill>
                <a:latin typeface="Arial"/>
                <a:ea typeface="Arial"/>
                <a:cs typeface="Arial"/>
              </a:defRPr>
            </a:pPr>
            <a:endParaRPr lang="cs-CZ"/>
          </a:p>
        </c:txPr>
        <c:crossAx val="454985408"/>
        <c:crosses val="autoZero"/>
        <c:auto val="1"/>
        <c:lblAlgn val="ctr"/>
        <c:lblOffset val="100"/>
        <c:tickLblSkip val="2"/>
        <c:noMultiLvlLbl val="0"/>
      </c:catAx>
      <c:valAx>
        <c:axId val="454985408"/>
        <c:scaling>
          <c:orientation val="minMax"/>
          <c:max val="11.5"/>
          <c:min val="0.5"/>
        </c:scaling>
        <c:delete val="0"/>
        <c:axPos val="l"/>
        <c:numFmt formatCode="0.0" sourceLinked="0"/>
        <c:majorTickMark val="out"/>
        <c:minorTickMark val="none"/>
        <c:tickLblPos val="nextTo"/>
        <c:spPr>
          <a:noFill/>
          <a:ln>
            <a:solidFill>
              <a:srgbClr val="868686"/>
            </a:solidFill>
          </a:ln>
          <a:effectLst/>
        </c:spPr>
        <c:txPr>
          <a:bodyPr rot="-60000000" spcFirstLastPara="1" vertOverflow="ellipsis" vert="horz" wrap="square" anchor="ctr" anchorCtr="1"/>
          <a:lstStyle/>
          <a:p>
            <a:pPr>
              <a:defRPr sz="900" b="0" i="0" u="none" strike="noStrike" kern="1200" baseline="0">
                <a:solidFill>
                  <a:srgbClr val="415464"/>
                </a:solidFill>
                <a:latin typeface="Arial"/>
                <a:ea typeface="Arial"/>
                <a:cs typeface="Arial"/>
              </a:defRPr>
            </a:pPr>
            <a:endParaRPr lang="cs-CZ"/>
          </a:p>
        </c:txPr>
        <c:crossAx val="454983448"/>
        <c:crosses val="autoZero"/>
        <c:crossBetween val="midCat"/>
        <c:majorUnit val="1.5"/>
      </c:valAx>
      <c:spPr>
        <a:noFill/>
        <a:ln>
          <a:noFill/>
        </a:ln>
        <a:effectLst/>
        <a:ex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a:extLst>
      <a:ext uri="{909E8E84-426E-40DD-AFC4-6F175D3DCCD1}">
        <a14:hiddenFill xmlns:a14="http://schemas.microsoft.com/office/drawing/2010/main">
          <a:noFill/>
        </a14:hiddenFill>
      </a:ext>
      <a:ext uri="{91240B29-F687-4F45-9708-019B960494DF}">
        <a14:hiddenLine xmlns:a14="http://schemas.microsoft.com/office/drawing/2010/main">
          <a:noFill/>
        </a14:hiddenLine>
      </a:ext>
    </a:extLst>
  </c:spPr>
  <c:txPr>
    <a:bodyPr/>
    <a:lstStyle/>
    <a:p>
      <a:pPr>
        <a:defRPr sz="900">
          <a:solidFill>
            <a:srgbClr val="415464"/>
          </a:solidFill>
          <a:latin typeface="Arial"/>
          <a:ea typeface="Arial"/>
          <a:cs typeface="Arial"/>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0.89824</cdr:x>
      <cdr:y>0.04023</cdr:y>
    </cdr:from>
    <cdr:to>
      <cdr:x>0.98654</cdr:x>
      <cdr:y>0.93575</cdr:y>
    </cdr:to>
    <cdr:sp macro="" textlink="">
      <cdr:nvSpPr>
        <cdr:cNvPr id="2" name="Rectangle 1">
          <a:extLst xmlns:a="http://schemas.openxmlformats.org/drawingml/2006/main">
            <a:ext uri="{FF2B5EF4-FFF2-40B4-BE49-F238E27FC236}">
              <a16:creationId xmlns:a16="http://schemas.microsoft.com/office/drawing/2014/main" xmlns="" id="{6392CF4C-86BC-451B-A534-D054B2B21320}"/>
            </a:ext>
          </a:extLst>
        </cdr:cNvPr>
        <cdr:cNvSpPr/>
      </cdr:nvSpPr>
      <cdr:spPr>
        <a:xfrm xmlns:a="http://schemas.openxmlformats.org/drawingml/2006/main">
          <a:off x="3100593" y="94129"/>
          <a:ext cx="304801" cy="2095500"/>
        </a:xfrm>
        <a:prstGeom xmlns:a="http://schemas.openxmlformats.org/drawingml/2006/main" prst="rect">
          <a:avLst/>
        </a:prstGeom>
        <a:noFill xmlns:a="http://schemas.openxmlformats.org/drawingml/2006/main"/>
        <a:ln xmlns:a="http://schemas.openxmlformats.org/drawingml/2006/main" w="22225">
          <a:solidFill>
            <a:schemeClr val="bg2"/>
          </a:solidFill>
          <a:prstDash val="sysDash"/>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defPPr>
            <a:defRPr lang="en-US"/>
          </a:defPPr>
          <a:lvl1pPr algn="l" defTabSz="912813" rtl="0" fontAlgn="base">
            <a:spcBef>
              <a:spcPct val="0"/>
            </a:spcBef>
            <a:spcAft>
              <a:spcPct val="0"/>
            </a:spcAft>
            <a:defRPr sz="2400" b="1" kern="1200">
              <a:solidFill>
                <a:schemeClr val="lt1"/>
              </a:solidFill>
              <a:latin typeface="+mn-lt"/>
              <a:ea typeface="+mn-ea"/>
              <a:cs typeface="+mn-cs"/>
            </a:defRPr>
          </a:lvl1pPr>
          <a:lvl2pPr marL="455613" indent="1588" algn="l" defTabSz="912813" rtl="0" fontAlgn="base">
            <a:spcBef>
              <a:spcPct val="0"/>
            </a:spcBef>
            <a:spcAft>
              <a:spcPct val="0"/>
            </a:spcAft>
            <a:defRPr sz="2400" b="1" kern="1200">
              <a:solidFill>
                <a:schemeClr val="lt1"/>
              </a:solidFill>
              <a:latin typeface="+mn-lt"/>
              <a:ea typeface="+mn-ea"/>
              <a:cs typeface="+mn-cs"/>
            </a:defRPr>
          </a:lvl2pPr>
          <a:lvl3pPr marL="912813" indent="1588" algn="l" defTabSz="912813" rtl="0" fontAlgn="base">
            <a:spcBef>
              <a:spcPct val="0"/>
            </a:spcBef>
            <a:spcAft>
              <a:spcPct val="0"/>
            </a:spcAft>
            <a:defRPr sz="2400" b="1" kern="1200">
              <a:solidFill>
                <a:schemeClr val="lt1"/>
              </a:solidFill>
              <a:latin typeface="+mn-lt"/>
              <a:ea typeface="+mn-ea"/>
              <a:cs typeface="+mn-cs"/>
            </a:defRPr>
          </a:lvl3pPr>
          <a:lvl4pPr marL="1370013" indent="1588" algn="l" defTabSz="912813" rtl="0" fontAlgn="base">
            <a:spcBef>
              <a:spcPct val="0"/>
            </a:spcBef>
            <a:spcAft>
              <a:spcPct val="0"/>
            </a:spcAft>
            <a:defRPr sz="2400" b="1" kern="1200">
              <a:solidFill>
                <a:schemeClr val="lt1"/>
              </a:solidFill>
              <a:latin typeface="+mn-lt"/>
              <a:ea typeface="+mn-ea"/>
              <a:cs typeface="+mn-cs"/>
            </a:defRPr>
          </a:lvl4pPr>
          <a:lvl5pPr marL="1827213" indent="1588" algn="l" defTabSz="912813" rtl="0" fontAlgn="base">
            <a:spcBef>
              <a:spcPct val="0"/>
            </a:spcBef>
            <a:spcAft>
              <a:spcPct val="0"/>
            </a:spcAft>
            <a:defRPr sz="2400" b="1" kern="1200">
              <a:solidFill>
                <a:schemeClr val="lt1"/>
              </a:solidFill>
              <a:latin typeface="+mn-lt"/>
              <a:ea typeface="+mn-ea"/>
              <a:cs typeface="+mn-cs"/>
            </a:defRPr>
          </a:lvl5pPr>
          <a:lvl6pPr marL="2286000" algn="l" defTabSz="457200" rtl="0" eaLnBrk="1" latinLnBrk="0" hangingPunct="1">
            <a:defRPr sz="2400" b="1" kern="1200">
              <a:solidFill>
                <a:schemeClr val="lt1"/>
              </a:solidFill>
              <a:latin typeface="+mn-lt"/>
              <a:ea typeface="+mn-ea"/>
              <a:cs typeface="+mn-cs"/>
            </a:defRPr>
          </a:lvl6pPr>
          <a:lvl7pPr marL="2743200" algn="l" defTabSz="457200" rtl="0" eaLnBrk="1" latinLnBrk="0" hangingPunct="1">
            <a:defRPr sz="2400" b="1" kern="1200">
              <a:solidFill>
                <a:schemeClr val="lt1"/>
              </a:solidFill>
              <a:latin typeface="+mn-lt"/>
              <a:ea typeface="+mn-ea"/>
              <a:cs typeface="+mn-cs"/>
            </a:defRPr>
          </a:lvl7pPr>
          <a:lvl8pPr marL="3200400" algn="l" defTabSz="457200" rtl="0" eaLnBrk="1" latinLnBrk="0" hangingPunct="1">
            <a:defRPr sz="2400" b="1" kern="1200">
              <a:solidFill>
                <a:schemeClr val="lt1"/>
              </a:solidFill>
              <a:latin typeface="+mn-lt"/>
              <a:ea typeface="+mn-ea"/>
              <a:cs typeface="+mn-cs"/>
            </a:defRPr>
          </a:lvl8pPr>
          <a:lvl9pPr marL="3657600" algn="l" defTabSz="457200" rtl="0" eaLnBrk="1" latinLnBrk="0" hangingPunct="1">
            <a:defRPr sz="2400" b="1" kern="1200">
              <a:solidFill>
                <a:schemeClr val="lt1"/>
              </a:solidFill>
              <a:latin typeface="+mn-lt"/>
              <a:ea typeface="+mn-ea"/>
              <a:cs typeface="+mn-cs"/>
            </a:defRPr>
          </a:lvl9pPr>
        </a:lstStyle>
        <a:p xmlns:a="http://schemas.openxmlformats.org/drawingml/2006/main">
          <a:pPr algn="ctr"/>
          <a:endParaRPr lang="en-GB"/>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86890-024D-4D4B-9199-74885387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1753</Words>
  <Characters>10345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12074</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Markéta Damková</cp:lastModifiedBy>
  <cp:revision>2</cp:revision>
  <cp:lastPrinted>2015-12-01T02:29:00Z</cp:lastPrinted>
  <dcterms:created xsi:type="dcterms:W3CDTF">2020-07-09T11:02:00Z</dcterms:created>
  <dcterms:modified xsi:type="dcterms:W3CDTF">2020-07-09T11:02:00Z</dcterms:modified>
</cp:coreProperties>
</file>